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0077BE"/>
          <w:left w:val="single" w:sz="6" w:space="0" w:color="0077BE"/>
          <w:bottom w:val="single" w:sz="6" w:space="0" w:color="0077BE"/>
          <w:right w:val="single" w:sz="6" w:space="0" w:color="0077B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2"/>
      </w:tblGrid>
      <w:tr w:rsidR="00D515D8" w:rsidRPr="00D515D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5D8" w:rsidRPr="00D515D8" w:rsidRDefault="00D515D8" w:rsidP="00D515D8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679B4"/>
                <w:sz w:val="19"/>
                <w:szCs w:val="19"/>
                <w:lang w:eastAsia="pl-PL"/>
              </w:rPr>
            </w:pPr>
            <w:r w:rsidRPr="00D515D8">
              <w:rPr>
                <w:rFonts w:ascii="inherit" w:eastAsia="Times New Roman" w:hAnsi="inherit" w:cs="Arial"/>
                <w:b/>
                <w:bCs/>
                <w:color w:val="6679B4"/>
                <w:sz w:val="19"/>
                <w:szCs w:val="19"/>
                <w:lang w:eastAsia="pl-PL"/>
              </w:rPr>
              <w:t>Rezolucja Parlamentu Europejskiego z dnia 10 maja 2016 r. w sprawie nowych narzędzi rozwoju terytorialnego w polityce spójności na lata 2014–2020: zintegrowane inwestycje terytorialne (ZIT) oraz rozwój lokalny kierowany przez społeczność (CLLD) (</w:t>
            </w:r>
            <w:hyperlink r:id="rId5" w:history="1">
              <w:r w:rsidRPr="00D515D8">
                <w:rPr>
                  <w:rFonts w:ascii="inherit" w:eastAsia="Times New Roman" w:hAnsi="inherit" w:cs="Arial"/>
                  <w:b/>
                  <w:bCs/>
                  <w:color w:val="FFAE63"/>
                  <w:sz w:val="19"/>
                  <w:szCs w:val="19"/>
                  <w:lang w:eastAsia="pl-PL"/>
                </w:rPr>
                <w:t>2015/2224(INI)</w:t>
              </w:r>
            </w:hyperlink>
            <w:r w:rsidRPr="00D515D8">
              <w:rPr>
                <w:rFonts w:ascii="inherit" w:eastAsia="Times New Roman" w:hAnsi="inherit" w:cs="Arial"/>
                <w:b/>
                <w:bCs/>
                <w:color w:val="6679B4"/>
                <w:sz w:val="19"/>
                <w:szCs w:val="19"/>
                <w:lang w:eastAsia="pl-PL"/>
              </w:rPr>
              <w:t>)</w:t>
            </w:r>
          </w:p>
        </w:tc>
      </w:tr>
      <w:tr w:rsidR="00D515D8" w:rsidRPr="00D515D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i/>
                <w:iCs/>
                <w:color w:val="666666"/>
                <w:sz w:val="18"/>
                <w:szCs w:val="18"/>
                <w:lang w:eastAsia="pl-PL"/>
              </w:rPr>
              <w:t>Parlament Europejski,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–  uwzględniając Traktat o funkcjonowaniu Unii Europejskiej, a w szczególności jego tytuł XVIII,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–  uwzględniając rozporządzenie Parlamentu Europejskiego i Rady (UE) nr 1303/2013 z dnia 17 grudnia 2013 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 1083/2006</w:t>
            </w:r>
            <w:bookmarkStart w:id="0" w:name="ref_1_1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begin"/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instrText xml:space="preserve"> HYPERLINK "http://www.europarl.europa.eu/sides/getDoc.do?type=TA&amp;reference=P8-TA-2016-0211&amp;language=PL&amp;ring=A8</w:instrTex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instrText xml:space="preserve">-2016-0032" \l "def_1_1" </w:instrTex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separate"/>
            </w:r>
            <w:r w:rsidRPr="00D515D8">
              <w:rPr>
                <w:rFonts w:ascii="inherit" w:eastAsia="Times New Roman" w:hAnsi="inherit" w:cs="Arial"/>
                <w:b/>
                <w:bCs/>
                <w:color w:val="FFAE63"/>
                <w:sz w:val="14"/>
                <w:szCs w:val="14"/>
                <w:vertAlign w:val="superscript"/>
                <w:lang w:eastAsia="pl-PL"/>
              </w:rPr>
              <w:t>(1)</w: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end"/>
            </w:r>
            <w:bookmarkEnd w:id="0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(zwane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dalej „rozporządzeniem w sprawie wspólnych przepisów”),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–  uwzględniając rozporządzenie Parlamentu Europejskiego i Rady (UE) nr 1301/2013 z dnia 17 grudnia 2013 r. w sprawie Europejskiego Funduszu Rozwoju Regionalnego i przepisów szczególnych dotyczących celu „Inwestycje na rzecz wzrostu i zatrudnienia” oraz w sprawie uchylenia rozporządzenia Rady (WE) nr 1080/2006</w:t>
            </w:r>
            <w:bookmarkStart w:id="1" w:name="ref_1_2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begin"/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instrText xml:space="preserve"> HYPERLINK "http://www.europarl.europa.</w:instrTex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instrText xml:space="preserve">eu/sides/getDoc.do?type=TA&amp;reference=P8-TA-2016-0211&amp;language=PL&amp;ring=A8-2016-0032" \l "def_1_2" </w:instrTex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separate"/>
            </w:r>
            <w:r w:rsidRPr="00D515D8">
              <w:rPr>
                <w:rFonts w:ascii="inherit" w:eastAsia="Times New Roman" w:hAnsi="inherit" w:cs="Arial"/>
                <w:b/>
                <w:bCs/>
                <w:color w:val="FFAE63"/>
                <w:sz w:val="14"/>
                <w:szCs w:val="14"/>
                <w:vertAlign w:val="superscript"/>
                <w:lang w:eastAsia="pl-PL"/>
              </w:rPr>
              <w:t>(2)</w: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end"/>
            </w:r>
            <w:bookmarkEnd w:id="1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,</w:t>
            </w:r>
            <w:proofErr w:type="gramEnd"/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–  uwzględniając rozporządzenie Parlamentu Europejskiego i Rady (UE) nr 1305/2013 z dnia 17 grudnia 2013 r. w sprawie wsparcia rozwoju obszarów wiejskich przez Europejski Fundusz Rolny na rzecz Rozwoju Obszarów Wiejskich (EFRROW) i uchylające rozporządzenie Rady (WE) nr 1698/2005</w:t>
            </w:r>
            <w:bookmarkStart w:id="2" w:name="ref_1_3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begin"/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instrText xml:space="preserve"> HYPERLINK "http://www.europarl.europa.</w:instrTex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instrText xml:space="preserve">eu/sides/getDoc.do?type=TA&amp;reference=P8-TA-2016-0211&amp;language=PL&amp;ring=A8-2016-0032" \l "def_1_3" </w:instrTex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separate"/>
            </w:r>
            <w:r w:rsidRPr="00D515D8">
              <w:rPr>
                <w:rFonts w:ascii="inherit" w:eastAsia="Times New Roman" w:hAnsi="inherit" w:cs="Arial"/>
                <w:b/>
                <w:bCs/>
                <w:color w:val="FFAE63"/>
                <w:sz w:val="14"/>
                <w:szCs w:val="14"/>
                <w:vertAlign w:val="superscript"/>
                <w:lang w:eastAsia="pl-PL"/>
              </w:rPr>
              <w:t>(3)</w: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end"/>
            </w:r>
            <w:bookmarkEnd w:id="2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,</w:t>
            </w:r>
            <w:proofErr w:type="gramEnd"/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–  uwzględniając rozporządzenie Parlamentu Europejskiego i Rady (UE) nr 508/2014 z dnia 15 maja 2014 r. w sprawie Europejskiego Funduszu Morskiego i Rybackiego oraz uchylające rozporządzenia Rady (WE) nr 2328/2003, (WE) nr 861/2006, (WE) nr 1198/2006 i (WE) nr 791/2007 oraz rozporządzenie Parlamentu Europejskiego i Rady (UE) nr 1255/2011</w:t>
            </w:r>
            <w:bookmarkStart w:id="3" w:name="ref_1_4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begin"/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instrText xml:space="preserve"> HYPERLINK "http://www.europarl.europa.</w:instrTex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instrText xml:space="preserve">eu/sides/getDoc.do?type=TA&amp;reference=P8-TA-2016-0211&amp;language=PL&amp;ring=A8-2016-0032" \l "def_1_4" </w:instrTex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separate"/>
            </w:r>
            <w:r w:rsidRPr="00D515D8">
              <w:rPr>
                <w:rFonts w:ascii="inherit" w:eastAsia="Times New Roman" w:hAnsi="inherit" w:cs="Arial"/>
                <w:b/>
                <w:bCs/>
                <w:color w:val="FFAE63"/>
                <w:sz w:val="14"/>
                <w:szCs w:val="14"/>
                <w:vertAlign w:val="superscript"/>
                <w:lang w:eastAsia="pl-PL"/>
              </w:rPr>
              <w:t>(4)</w: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end"/>
            </w:r>
            <w:bookmarkEnd w:id="3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,</w:t>
            </w:r>
            <w:proofErr w:type="gramEnd"/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–  uwzględniając rozporządzenie Parlamentu Europejskiego i Rady (UE) nr 1299/2013 z dnia 17 grudnia 2013 r. w sprawie przepisów szczegółowych dotyczących wsparcia z Europejskiego Funduszu Rozwoju Regionalnego w ramach celu „Europejska współpraca terytorialna”</w:t>
            </w:r>
            <w:bookmarkStart w:id="4" w:name="ref_1_5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begin"/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instrText xml:space="preserve"> HYPERLINK "http://www.europarl.europa.eu/sides/</w:instrTex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instrText xml:space="preserve">getDoc.do?type=TA&amp;reference=P8-TA-2016-0211&amp;language=PL&amp;ring=A8-2016-0032" \l "def_1_5" </w:instrTex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separate"/>
            </w:r>
            <w:r w:rsidRPr="00D515D8">
              <w:rPr>
                <w:rFonts w:ascii="inherit" w:eastAsia="Times New Roman" w:hAnsi="inherit" w:cs="Arial"/>
                <w:b/>
                <w:bCs/>
                <w:color w:val="FFAE63"/>
                <w:sz w:val="14"/>
                <w:szCs w:val="14"/>
                <w:vertAlign w:val="superscript"/>
                <w:lang w:eastAsia="pl-PL"/>
              </w:rPr>
              <w:t>(5)</w: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end"/>
            </w:r>
            <w:bookmarkEnd w:id="4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,</w:t>
            </w:r>
            <w:proofErr w:type="gramEnd"/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–  uwzględniając „Agendę Terytorialną UE 2020”, uzgodnioną w dniu 19 maja 2011 r. w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Gödöllő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na nieformalnym posiedzeniu Rady ministrów odpowiedzialnych za planowanie przestrzenne i rozwój terytorialny,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–  uwzględniając opinię Komitetu Regionów z dnia 29 listopada 2012 r. pt. „Rozwój kierowany przez lokalną społeczność”</w:t>
            </w:r>
            <w:bookmarkStart w:id="5" w:name="ref_1_6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begin"/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instrText xml:space="preserve"> HYPERLINK "http://www.europarl.europa.eu/sides/</w:instrTex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instrText xml:space="preserve">getDoc.do?type=TA&amp;reference=P8-TA-2016-0211&amp;language=PL&amp;ring=A8-2016-0032" \l "def_1_6" </w:instrTex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separate"/>
            </w:r>
            <w:r w:rsidRPr="00D515D8">
              <w:rPr>
                <w:rFonts w:ascii="inherit" w:eastAsia="Times New Roman" w:hAnsi="inherit" w:cs="Arial"/>
                <w:b/>
                <w:bCs/>
                <w:color w:val="FFAE63"/>
                <w:sz w:val="14"/>
                <w:szCs w:val="14"/>
                <w:vertAlign w:val="superscript"/>
                <w:lang w:eastAsia="pl-PL"/>
              </w:rPr>
              <w:t>(6)</w: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end"/>
            </w:r>
            <w:bookmarkEnd w:id="5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,</w:t>
            </w:r>
            <w:proofErr w:type="gramEnd"/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–  uwzględniając opinię Komitetu Regionów z dnia 9 lipca 2015 r. pt. „Wynik negocjacji dotyczących umów partnerstwa oraz programów operacyjnych”</w:t>
            </w:r>
            <w:bookmarkStart w:id="6" w:name="ref_1_7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begin"/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instrText xml:space="preserve"> HYPERLINK "http://www.europarl.europa.eu/sides/</w:instrTex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instrText xml:space="preserve">getDoc.do?type=TA&amp;reference=P8-TA-2016-0211&amp;language=PL&amp;ring=A8-2016-0032" \l "def_1_7" </w:instrTex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separate"/>
            </w:r>
            <w:r w:rsidRPr="00D515D8">
              <w:rPr>
                <w:rFonts w:ascii="inherit" w:eastAsia="Times New Roman" w:hAnsi="inherit" w:cs="Arial"/>
                <w:b/>
                <w:bCs/>
                <w:color w:val="FFAE63"/>
                <w:sz w:val="14"/>
                <w:szCs w:val="14"/>
                <w:vertAlign w:val="superscript"/>
                <w:lang w:eastAsia="pl-PL"/>
              </w:rPr>
              <w:t>(7)</w: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end"/>
            </w:r>
            <w:bookmarkEnd w:id="6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,</w:t>
            </w:r>
            <w:proofErr w:type="gramEnd"/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–  uwzględniając opinię Komitetu Regionów z dnia 11 grudnia 2014 r. pt. „Rozwój lokalny kierowany przez społeczność (RLKS) jako narzędzie polityki spójności na lata 2014-2020 służące rozwojowi lokalnemu oraz rozwojowi obszarów wiejskich, miejskich i podmiejskich”</w:t>
            </w:r>
            <w:bookmarkStart w:id="7" w:name="ref_1_8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begin"/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instrText xml:space="preserve"> HYPERLINK "http://www.europarl.europa.eu/sides/</w:instrTex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instrText xml:space="preserve">getDoc.do?type=TA&amp;reference=P8-TA-2016-0211&amp;language=PL&amp;ring=A8-2016-0032" \l "def_1_8" </w:instrTex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separate"/>
            </w:r>
            <w:r w:rsidRPr="00D515D8">
              <w:rPr>
                <w:rFonts w:ascii="inherit" w:eastAsia="Times New Roman" w:hAnsi="inherit" w:cs="Arial"/>
                <w:b/>
                <w:bCs/>
                <w:color w:val="FFAE63"/>
                <w:sz w:val="14"/>
                <w:szCs w:val="14"/>
                <w:vertAlign w:val="superscript"/>
                <w:lang w:eastAsia="pl-PL"/>
              </w:rPr>
              <w:t>(8)</w: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end"/>
            </w:r>
            <w:bookmarkEnd w:id="7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,</w:t>
            </w:r>
            <w:proofErr w:type="gramEnd"/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–  uwzględniając swoją rezolucję z dnia 15 listopada 2011 r. w sprawie zmian demograficznych oraz ich konsekwencji dla przyszłej polityki spójności UE</w:t>
            </w:r>
            <w:bookmarkStart w:id="8" w:name="ref_1_9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begin"/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instrText xml:space="preserve"> HYPERLINK "http://www.europarl.europa.eu/sides/getDoc.do?type=TA&amp;reference=P8-TA-2016-0211&amp;language=PL&amp;ring=A8-2016-00</w:instrTex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instrText xml:space="preserve">32" \l "def_1_9" </w:instrTex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separate"/>
            </w:r>
            <w:r w:rsidRPr="00D515D8">
              <w:rPr>
                <w:rFonts w:ascii="inherit" w:eastAsia="Times New Roman" w:hAnsi="inherit" w:cs="Arial"/>
                <w:b/>
                <w:bCs/>
                <w:color w:val="FFAE63"/>
                <w:sz w:val="14"/>
                <w:szCs w:val="14"/>
                <w:vertAlign w:val="superscript"/>
                <w:lang w:eastAsia="pl-PL"/>
              </w:rPr>
              <w:t>(9)</w: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end"/>
            </w:r>
            <w:bookmarkEnd w:id="8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,</w:t>
            </w:r>
            <w:proofErr w:type="gramEnd"/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–  uwzględniając swoją rezolucję z dnia 15 stycznia 2013 r. w sprawie optymalizacji roli rozwoju terytorialnego w ramach polityki spójności</w:t>
            </w:r>
            <w:bookmarkStart w:id="9" w:name="ref_1_10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begin"/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instrText xml:space="preserve"> HYPERLINK "http://www.europarl.europa.eu/sides/getDoc.do?type=TA&amp;reference=P8-TA-2016-0211&amp;language=PL&amp;ring=A8-</w:instrTex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instrText xml:space="preserve">2016-0032" \l "def_1_10" </w:instrTex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separate"/>
            </w:r>
            <w:r w:rsidRPr="00D515D8">
              <w:rPr>
                <w:rFonts w:ascii="inherit" w:eastAsia="Times New Roman" w:hAnsi="inherit" w:cs="Arial"/>
                <w:b/>
                <w:bCs/>
                <w:color w:val="FFAE63"/>
                <w:sz w:val="14"/>
                <w:szCs w:val="14"/>
                <w:vertAlign w:val="superscript"/>
                <w:lang w:eastAsia="pl-PL"/>
              </w:rPr>
              <w:t>(10)</w: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end"/>
            </w:r>
            <w:bookmarkEnd w:id="9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,</w:t>
            </w:r>
            <w:proofErr w:type="gramEnd"/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–  uwzględniając swoją rezolucję z dnia 14 stycznia 2014 r. w sprawie gotowości państw członkowskich UE do skutecznego i terminowego rozpoczęcia nowego okresu programowania polityki spójności</w:t>
            </w:r>
            <w:bookmarkStart w:id="10" w:name="ref_1_11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begin"/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instrText xml:space="preserve"> HYPERLINK "http://www.europarl.europa.eu/sides/getDoc.do?type=TA&amp;reference=P8-TA-2016-0211&amp;language=PL&amp;ring=A8-</w:instrTex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instrText xml:space="preserve">2016-0032" \l "def_1_11" </w:instrTex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separate"/>
            </w:r>
            <w:r w:rsidRPr="00D515D8">
              <w:rPr>
                <w:rFonts w:ascii="inherit" w:eastAsia="Times New Roman" w:hAnsi="inherit" w:cs="Arial"/>
                <w:b/>
                <w:bCs/>
                <w:color w:val="FFAE63"/>
                <w:sz w:val="14"/>
                <w:szCs w:val="14"/>
                <w:vertAlign w:val="superscript"/>
                <w:lang w:eastAsia="pl-PL"/>
              </w:rPr>
              <w:t>(11)</w: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end"/>
            </w:r>
            <w:bookmarkEnd w:id="10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,</w:t>
            </w:r>
            <w:proofErr w:type="gramEnd"/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–  uwzględniając swoją rezolucję z dnia 26 listopada 2015 r. w sprawie dążenia do uproszczenia polityki spójności na lata 2014–2020 i ukierunkowania jej na wyniki</w:t>
            </w:r>
            <w:bookmarkStart w:id="11" w:name="ref_1_12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begin"/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instrText xml:space="preserve"> HYPERLINK "http://www.europarl.europa.eu/sides/getDoc.do?type=TA&amp;reference=P8-TA-2016-0211&amp;language=PL&amp;ring=A8-201</w:instrTex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instrText xml:space="preserve">6-0032" \l "def_1_12" </w:instrTex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separate"/>
            </w:r>
            <w:r w:rsidRPr="00D515D8">
              <w:rPr>
                <w:rFonts w:ascii="inherit" w:eastAsia="Times New Roman" w:hAnsi="inherit" w:cs="Arial"/>
                <w:b/>
                <w:bCs/>
                <w:color w:val="FFAE63"/>
                <w:sz w:val="14"/>
                <w:szCs w:val="14"/>
                <w:vertAlign w:val="superscript"/>
                <w:lang w:eastAsia="pl-PL"/>
              </w:rPr>
              <w:t>(12)</w: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fldChar w:fldCharType="end"/>
            </w:r>
            <w:bookmarkEnd w:id="11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,</w:t>
            </w:r>
            <w:proofErr w:type="gramEnd"/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–  uwzględniając briefing Parlamentu Europejskiego pt. „Tools to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support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the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territorial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urban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dimension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cohesion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policy: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Integrated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territorial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investment (ITI) and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Community-led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Local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Development (CLLD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)” („Narzędzia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wspierania wymiaru terytorialnego i miejskiego w polityce spójności: zintegrowane inwestycje terytorialne oraz rozwój lokalny </w: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lastRenderedPageBreak/>
              <w:t>kierowany przez społeczność”), Dyrekcja Generalna ds. Polityki Wewnętrznej, Departament B: Polityka Strukturalna i Polityka Spójności, Parlament Europejski, październik 2015 r.,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–  uwzględniając badanie pt. „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Territorial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governance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Cohesion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Policy” („Zarządzanie terytorialne i polityka spójności”), Dyrekcja Generalna ds. Polityki Wewnętrznej, Departament B: Polityka Strukturalna i Polityka Spójności, Parlament Europejski, lipiec 2015 r.,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–  uwzględniając badanie pt. „Strategic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coherence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Cohesion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Policy: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comparison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of the 2007-13 and 2014-20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programming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periods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” („Spójność strategiczna polityki spójności: porównanie okresów programowania 2007–2013 i 2014–2020”), Dyrekcja Generalna ds. Polityki Wewnętrznej, Departament B: Polityka Strukturalna i Polityka Spójności, Parlament Europejski, luty 2015 r.,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–  uwzględniając szósty raport Komisji na temat spójności gospodarczej, społecznej i terytorialnej: „Inwestycje na rzecz wzrostu gospodarczego i zatrudnienia – Promowanie rozwoju i dobrego rządzenia w regionach UE i miastach”, lipiec 2014 r.,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–  uwzględniając badanie pt. „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Territorial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Agenda 2020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put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practice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–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Enhancing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the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efficiency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effectiveness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Cohesion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Policy by a place-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based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approach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” („Agenda terytorialna 2020 w praktyce – Zwiększenie sprawności i skuteczności polityki spójności poprzez podejście ukierunkowane na konkretne obszary”), tom II – analizy przypadków, Komisja Europejska, maj 2015 r.,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–  uwzględniając sprawozdanie pt. „How to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strengthen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the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territorial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dimension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of ‘Europe 2020’ and EU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Cohesion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Policy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based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on the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Territorial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Agenda 2020’” („Jak wzmocnić wymiar terytorialny strategii »Europa 2020« oraz unijnej polityki spójności na podstawie agendy terytorialnej 2020”), przygotowane na wniosek prezydencji polskiej w Radzie Unii Europejskiej, wrzesień 2011 r.,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–  uwzględniając sprawozdanie pt. „Job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Creation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Local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Economic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Development” („Tworzenie miejsc pracy i lokalny rozwój gospodarczy”), Organizacja Współpracy Gospodarczej i Rozwoju (OECD), listopad 2014 r.,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–  uwzględniając sprawozdanie pt. „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Local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Economic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Leadership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” („Lokalne przywództwo gospodarcze”), Organizacja Współpracy Gospodarczej i Rozwoju (OECD), 2015 r.,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–  uwzględniając art. 52 Regulaminu,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–  uwzględniając sprawozdanie Komisji Rozwoju Regionalnego oraz opinię Komisji Zatrudnienia i Spraw Socjalnych (</w:t>
            </w:r>
            <w:hyperlink r:id="rId6" w:history="1">
              <w:r w:rsidRPr="00D515D8">
                <w:rPr>
                  <w:rFonts w:ascii="inherit" w:eastAsia="Times New Roman" w:hAnsi="inherit" w:cs="Arial"/>
                  <w:b/>
                  <w:bCs/>
                  <w:color w:val="FFAE63"/>
                  <w:sz w:val="18"/>
                  <w:szCs w:val="18"/>
                  <w:lang w:eastAsia="pl-PL"/>
                </w:rPr>
                <w:t>A8-0032/2016</w:t>
              </w:r>
            </w:hyperlink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),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A.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mając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na uwadze, że spójność terytorialna jest jednym z podstawowych celów Unii Europejskiej, zapisanym w Traktacie z Lizbony;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B.  mając na uwadze, że polityka spójności na lata 2014–2020 przewiduje i wspiera stosowanie zintegrowanego i ukierunkowanego na konkretne obszary podejścia w celu wzmacniania spójności gospodarczej, społecznej i terytorialnej przy jednoczesnym propagowaniu sprawowania rządów na szczeblu terytorialnym;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C.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mając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na uwadze, że podejścia zintegrowane i ukierunkowane na konkretne obszary mają na celu polepszenie skuteczności i wydajności interwencji publicznej poprzez wyjście naprzeciw specyficznym potrzebom poszczególnych obszarów oraz poprzez zwiększanie ich atrakcyjności;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D.  mając na uwadze, że RLKS i ZIT to innowacyjne instrumenty polityki spójności, które część państw członkowskich będzie wdrażać w tej formie po raz pierwszy i które mogą znacznie przyczynić się do osiągnięcia spójności gospodarczej, społecznej i terytorialnej, do tworzenia lokalnie miejsc pracy charakteryzujących się 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wysoką jakością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, do zrównoważonego rozwoju i do realizacji celów strategii „Europa 2020”;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E.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mając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na uwadze, że nowe inicjatywy ZIT i RLKS stanowią dużą zmianę w zakresie możliwości łączenia strumieni finansowania z planowaniem dobrze ukierunkowanych inicjatyw lokalnych przez lokalne zainteresowane podmioty;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F.  mając na uwadze, że wzmocnienie struktur regionalnych i lokalnych jest niezbędne do pełnego wdrożenia polityki spójności gospodarczej, społecznej i terytorialnej; mając na uwadze, że coraz większe znaczenie zyskują innowacyjne podejścia, w 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ramach których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priorytetowo traktuje się lokalną wiedzę w celu rozwiązywania lokalnych problemów za pomocą lokalnych rozwiązań; mając na uwadze, że zarządzanie partycypacyjne, np. budżetowanie partycypacyjne, dysponuje koniecznymi narzędziami na rzecz udziału społeczeństwa, w celu przekazania odpowiedzialności za decyzje na poziom </w: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lastRenderedPageBreak/>
              <w:t>społeczności lokalnych;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G.  mając na uwadze, że podstawą RLKS są doświadczenia we wdrażaniu inicjatyw LEADER, URBAN i EQUAL w poprzednich okresach finansowania, przy czym RLKS opiera się zasadniczo na metodzie LEADER, która od czasu jej wprowadzenia w 1991 r. spowodowała gwałtowny wzrost liczby lokalnych grup działania oraz w znacznym stopniu przyczyniła się do 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poprawy jakości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życia ludności, szczególnie na obszarach wiejskich;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H.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mając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na uwadze, że RLKS jest obowiązkowy tylko w przypadku EFRROW, natomiast w odniesieniu do EFRR, EFS i EFMR jest dobrowolny;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I.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mając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na uwadze, że te dwa nowe instrumenty mogą odegrać ważną rolę w procesie przystosowania do zmian demograficznych i zniwelować zaburzenia równowagi rozwoju pomiędzy poszczególnymi regionami;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J.  mając na uwadze, że w przypadku RLKS stosuje się podejście oddolne, ukierunkowane na określenie celów i finansowanie projektów związanych z lokalnymi potrzebami społeczności, a nie na narzucanie celów na poziomie krajowym;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K.  mając na uwadze, że ZIT są narzędziem, które można wykorzystywać do realizacji zintegrowanych działań na rzecz zrównoważonego rozwoju obszarów miejskich określonego w art. 7 rozporządzenia (UE) nr 1301/2013;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L.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mając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na uwadze, że między państwami członkowskimi istnieją różnice poziomu pod względem struktur zarządzania i pod względem doświadczenia w zakresie oddolnych inicjatyw rozwojowych;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M.  mając na uwadze, że potencjał i zaangażowanie podmiotów regionalnych i lokalnych to czynniki o zasadniczym znaczeniu dla powodzenia tych narzędzi, bez uszczerbku dla uprawnień określonych dla każdej ze struktur;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N.  mając na uwadze, że władze regionalne i lokalne mają za zadanie uczestniczyć w podejmowaniu decyzji o własnym rozwoju oraz działać na rzecz synergii między sektorem publicznym a 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prywatnym jako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organy wydające podstawowe wytyczne umożliwiające skuteczne zarządzanie i administrowanie projektami i gwarantujące stabilność podjętych zobowiązań;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O.  mając na uwadze, że jest niezwykle istotne, aby władze lokalne i regionalne w swoich decyzjach dotyczących rozwoju właściwie zidentyfikowały, w oparciu o wkład społeczności, swoje mocne strony i atuty strategiczne oraz opierały się na nich przy opracowywaniu lokalnych i regionalnych strategii rozwojowych, co wraz z wkładem wnoszonym przez ich społeczności 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poprawiłoby jakość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życia obywateli dzięki wyjaśnianiu występujących problemów, ustalaniu priorytetów i planowaniu zrównoważonych rozwiązań we współpracy z obywatelami;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P.  mając na uwadze, że art.7 ust. 3 rozporządzenia (UE) nr 1301/2013 przewiduje, że „uwzględniając specyfikę swojej sytuacji terytorialnej, każde państwo członkowskie ustanawia w umowie partnerstwa zasady wyboru obszarów miejskich, w których mają być realizowane zintegrowane działania na rzecz zrównoważonego rozwoju obszarów miejskich, oraz szacunkową alokację środków na te działania na szczeblu krajowym”;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Q.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mając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na uwadze, że inicjatywa współpracy między obszarami wiejskimi i miejskimi RURBAN przyczynia się do wzmocnienia konkurencyjności regionalnej i tworzenia partnerstw na rzecz rozwoju;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R.  mając na uwadze, że na poziomie Unii Europejskiej budżet powinien być oparty na wynikach oraz że zasoby przydzielone na ZIT i RLKS muszą być skutecznie wykorzystywane, poprzez realizację celów politycznych i ustalonych priorytetów, tak by wytworzyły one największą wartość dodaną w ramach wyznaczonego celu, a uzyskane rezultaty były osiągane możliwie najmniejszym kosztem;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8"/>
                <w:szCs w:val="18"/>
                <w:lang w:eastAsia="pl-PL"/>
              </w:rPr>
              <w:t>Uwagi ogólne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1.  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zwraca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uwagę, że wyraźne zaangażowanie od samego początku podmiotów regionalnych i lokalnych, zapewnienie ich zaangażowania i poczucia odpowiedzialności za strategie rozwoju regionalnego oraz właściwe przekazywanie obowiązków i zasobów na niższe szczeble podejmowania decyzji mają kluczowe znaczenie dla powodzenia podejścia oddolnego; uważa, że zaangażowanie partnerów może również przyczynić się do wzmocnienia zintegrowanego podejścia ukierunkowanego na konkretny obszar, zwłaszcza tam, gdzie RLKS i ZIT stosowane są w niewielkim stopniu; podkreśla jednak, że podmiotom lokalnym potrzebne jest techniczne i finansowe wsparcie na szczeblu regionalnym, krajowym i unijnym, zwłaszcza na początkowych etapach procesu wdrożeniowego;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2.  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wzywa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do opracowania strategii na wczesnych etapach procesu wdrażania we współpracy z podmiotami regionalnymi i lokalnymi, w szczególności w zakresie konkretnych szkoleń i szkoleń specjalistycznych, wsparcia technicznego i </w: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lastRenderedPageBreak/>
              <w:t>finansowego, w ramach skutecznego partnerstwa pomiędzy regionami, państwami członkowskimi i UE;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3.  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uważa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, że należy nadal propagować delegowanie kompetencji i zasobów na niższe szczeble w ramach funduszy strukturalnych i inwestycyjnych oraz że niechęć organów zarządzających do takiego postępowania może ograniczyć potencjał dwóch instrumentów; wzywa państwa członkowskie do obrony podejścia oddolnego i powierzania odpowiedzialności grupom lokalnym; wzywa Komisję, aby w pełni respektując granice swoich kompetencji, wydała zalecenia i wieloaspektowe wytyczne dla państw członkowskich dotyczące tego, w jaki sposób pokonać problem braku zaufania i przeszkody administracyjne między różnymi szczeblami zarządzania w odniesieniu do wdrażania RLKS i ZIT;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4.  podkreśla, że projektowanie 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wysokiej jakości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zintegrowanych innowacyjnych strategii wielosektorowych na poziomie lokalnym stanowi wyzwanie, szczególnie w przypadku, gdy należy to zrobić w sposób partycypacyjny;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5.  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zwraca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uwagę na fakt, że działania podejmowane przy wykorzystaniu tych narzędzi muszą uwzględniać priorytety podmiotów lokalnych i być dostosowane do nadrzędnych celów programów operacyjnych, a także z innych unijnych, krajowych, regionalnych i lokalnych strategii rozwojowych i strategii w zakresie inteligentnej specjalizacji, a jednocześnie muszą pozostawiać margines swobody;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6.  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przypomina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, że bardziej elastyczne i lepiej zintegrowane muszą być nie tylko programy UE, lecz również krajowe i regionalne strategie głównego nurtu; podkreśla, że zapewnienie bardziej ogólnego charakteru reformy zarządzania pomoże dopilnować, by funduszy UE nie przeznaczano „równolegle” na strategie krajowe i regionalne, lecz by je osadzano w szerszym kontekście z myślą o wypracowaniu trwałych wyników gospodarczych;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7.  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uważa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, że bezrobocie jest problemem państw członkowskich wymagającym najpilniejszego rozwiązania, podobnie jak brak finansowania MŚP; podkreśla, że rozwiązanie tych problemów należy uznać za jeden z priorytetów w strategiach rozwoju lokalnego i terytorialnego; apeluje do władz lokalnych i regionalnych o wprowadzenie zachęt podatkowych i innych w celu promowania zatrudnienia osób młodych oraz międzyregionalnej mobilności młodzieży, a także o priorytetowe potraktowanie szkoleń zawodowych, w partnerstwie z instytucjami szkoleniowymi;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8.  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zaleca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, by władze lokalne i regionalne zwróciły szczególną uwagę na projekty koncentrujące się na dostosowaniu miejscowości i regionów do nowej rzeczywistości demograficznej i przeciwdziałaniu wynikającym z niej zaburzeniom równowagi, w szczególności poprzez: 1. 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dostosowanie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infrastruktury społecznej i mobilności do zmian demograficznych i ruchów migracyjnych; 2. 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stworzenie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konkretnych towarów i usług dostosowanych do starzejącego się społeczeństwa; 3. 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wspieranie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działań umożliwiających tworzenie sprzyjających włączeniu społecznemu miejsc pracy dla osób w podeszłym wieku, kobiet i migrantów; 4. 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usprawnienie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połączeń cyfrowych oraz tworzenie platform, które umożliwiają i ułatwiają uczestnictwo obywateli najbardziej odizolowanych regionów oraz ich współpracę z różnymi organami administracyjnymi, społecznymi i politycznymi na wszystkich szczeblach władzy (lokalnym, regionalnym, krajowym i europejskim);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9.  zwraca się do Komisji oraz państw członkowskich o zapewnienie dodatkowego wsparcia, szkoleń i wytycznych mniejszym i słabiej rozwiniętym jednostkom terytorialnym, których zasoby i potencjał są bardziej ograniczone i w 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przypadku których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obciążenie administracyjne związane z wdrażaniem tych narzędzi i ich złożonością mogą sprawić, że okażą się one się trudne do zrealizowania na etapie planowania i wdrażania; przypomina, że dążenie do spójności terytorialnej jest procesem oddolnym, w który muszą zostać zaangażowane także mniejsze jednostki administracyjne, bez wykluczania lub dyskryminacji w zakresie dostępu do narzędzi ZIT i RLKS; apeluje do Komisji o informowanie o wynikach najlepszych praktyk w każdym z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z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państw 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członkowskich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oraz sugeruje wymianę dobrych praktyk poprzez stworzenie sieci internetowej zapewniającej tym jednostkom równe szanse dostępu do wyżej wymienionych narzędzi; zachęca władze krajowe i regionalne do zaproponowania rozwiązań służących grupowaniu małych jednostek administracyjnych z uwzględnieniem wymiaru terytorialnego i szczególnych potrzeb rozwojowych;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10.  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zachęca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państwa członkowskie, by określiły strategię poprawy wykorzystywania RLKS i ZIT za pośrednictwem wielofunduszowego podejścia do stworzenia skuteczniejszych regionalnych i lokalnych strategii rozwoju, w szczególności na obszarach, o których mowa w art. 174 Traktatu o funkcjonowaniu Unii Europejskiej; wzywa państwa członkowskie, aby w miarę możliwości wykorzystały elastyczność przewidzianą w art. 33 ust. 6 rozporządzenia w sprawie wspólnych przepisów do lepszego uwzględnienia specyfiki tych regionów; zachęca do przyjęcia specjalnych środków w celu świadczenia wsparcia technicznego i budowania potencjału organów administracyjnych na tych obszarach, mając na względzie ich izolację i po części niekorzystną sytuację w zakresie konkurencyjności;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11.  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podkreśla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, że integracja wielu funduszy nadal stanowi wyzwanie dla zainteresowanych stron, szczególnie w kontekście RLKS i ZIT; uważa, że wysiłki na rzecz uproszczenia są niezbędne, aby stworzyć warunki do wdrażania tych narzędzi; w związku z tym z zadowoleniem przyjmuje utworzenie grupy wysokiego szczebla niezależnych ekspertów ds. monitorowania uproszczenia dla beneficjentów europejskich funduszy strukturalnych i inwestycyjnych, a także wysiłki Komisji w dziedzinie lepszego stanowienia prawa; podkreśla potrzebę znalezienia wspólnych europejskich ram dotyczących wydawania zaleceń;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12.  podkreśla w szczególności potrzebę uporania się z praktyką nadmiernie rygorystycznego wdrażania, w 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wyniku której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na </w: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lastRenderedPageBreak/>
              <w:t>szczeblu krajowym, regionalnym i lokalnym tworzone są dodatkowe wymogi i przeszkody; zauważa, że audyt odbywający się na wielu poziomach często zwiększa obciążenia finansowe i administracyjne spoczywające na beneficjentach; nalega, by zapobiegać pokrywaniu się zadań administracyjnych i podkreśla znaczenie ustanowienia warunków sprzyjających inwestycjom i partnerstwu publiczno-prywatnemu; zaleca usprawnienie działań w zakresie audytu oraz skupienie monitorowania na procesie i wynikach, przy jednoczesnym utrzymaniu skutecznych kontroli;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13.  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wzywa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Komisję i państwa członkowskie do rozwijania i wdrażania ukierunkowanych działań szkoleniowych skoncentrowanych na RLKS i ZIT, adresowanych do podmiotów regionalnych i lokalnych, a także zwraca się do Komisji o poświęcenie uwagi programom szkoleniowym skierowanym do lokalnych beneficjentów; uważa, że niezwykle istotne jest, aby zapewnić udział i reprezentację wszystkich właściwych sektorów społeczeństwa w takich działaniach; podkreśla znaczenie sprawnego i skutecznego wykorzystywania pomocy technicznej przy wspieraniu tych instrumentów, bez powielania struktur organizacyjnych;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14.  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z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zadowoleniem przyjmuje nastawienie Komisji na rezultaty i wyniki, co powinno również pomóc lokalnym decydentom w odstąpieniu od nadmiernej dbałości o absorpcję funduszy i katalogowanie procesów wdrażania i skoncentrowaniu się na określaniu rzeczywistych i wymiernych celów, które przyniosą trwałe zmiany dla lokalnych przedsiębiorstw i mieszkańców;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15.  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wyraża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zaniepokojenie brakiem właściwej komunikacji między różnymi podmiotami; zachęca do podejmowania inicjatyw, których celem jest poprawa wymiany informacji; apeluje do Komisji, by w współpracy z państwami członkowskimi poprawiła koordynację i rozpowszechnianie informacji dotyczących RLKS i ZIT; domaga się, by RLKS i ZIT służyły większemu udziałowi obywateli w zarządzaniu na szczeblu lokalnym i regionalnym, poprzez bezpośrednie zaangażowanie w proces podejmowania decyzji, tak by zwiększyć odpowiedzialność za decyzję, a także wzywa władze lokalne i regionalne do zastosowania właściwych metod włączenia obywateli w konsultacje publiczne, poprzez zachęcanie do poprawy poziomu kultury dialogu i współpracy;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16.  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zachęca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Komisję, państwa członkowskie oraz regiony, aby w stosownych przypadkach zapewniały funkcjonowanie odpowiednich mechanizmów służących unikaniu problemów we współpracy pomiędzy instytucjami zarządzającymi a poszczególnymi partnerstwami, a także gwarantujących, że potencjalni beneficjenci będą właściwie informowani na temat tych mechanizmów oraz chronieni w związku z nimi; zauważa opóźnienia spowodowane rozstrzyganiem sporów powstałych w następstwie 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odwołań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i postuluje ustanowienie zestawu przepisów szczególnych w celu określenia procedur odwoławczych i szybkiego rozstrzygania w dziedzinie zamówień publicznych;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17.  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wzywa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Komisję, a w szczególności jej Dyrekcję Generalną ds. Polityki Regionalnej i Miejskiej, aby ustanowiła ramy współpracy z Organizacją Współpracy Gospodarczej i Rozwoju (OECD) z myślą o skorzystaniu z długoletniego doświadczenia w realizacji Programu na rzecz Lokalnego Rozwoju Gospodarczego i Tworzenia Miejsc Pracy (LEED) oraz o dążeniu do synergii między narzędziami, zwłaszcza w odniesieniu do wzmacniania potencjału podmiotów lokalnych;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18.  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zwraca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uwagę na znaczenie podjęcia przez państwa członkowskie i Komisję większych wysiłków na rzecz szerszego wykorzystania nowych narzędzi w kontekście europejskiej współpracy terytorialnej; podkreśla, że sąsiadujące obszary oddzielone od siebie granicą często zmagają się z podobnymi wyzwaniami, którym można lepiej sprostać, działając wspólnie, na szczeblu lokalnym;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19.  jest zaniepokojony wysokim poziomem bezrobocia w wielu państwach członkowskich i regionach UE; zachęca państwa członkowskie do wykorzystania tych instrumentów dotyczących projektów w celu stworzenia 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wysokiej jakości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miejsc pracy i możliwości dla MŚP, promowania inwestycji, zrównoważonego wzrostu gospodarczego sprzyjającego włączeniu społecznemu oraz inwestycji społecznych, a także do działania na rzecz ograniczenia ubóstwa i włączenia społecznego, szczególnie w tych regionach i subregionach, w których działania te są najbardziej potrzebne; wskazuje w tym kontekście na znaczenie zintegrowanego finansowania, a zwłaszcza połączenia środków z EFS i EFRR; wskazuje na potencjał związany z ponownym inwestowaniem części lokalnych podatków w działalność sprzyjającą poprawie wyników; wzywa Komisję 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do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opracowania specjalnej strategii inwestycyjnej zgodnie z pakietem dotyczącym inwestycji społecznych, która przyniosłaby korzyści regionom i subregionom o najwyższej stopie bezrobocia;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20.  zwraca uwagę na potencjał podejścia oddolnego RLKS w zakresie wspierania strategii lokalnego rozwoju, stwarzania szans na zatrudnienie i sprzyjania zrównoważonemu rozwojowi obszarów wiejskich; uważa, że ZIT i RLKS są w stanie odpowiadać bezpośrednio na potrzeby i wyzwania lokalne w bardziej ukierunkowany i właściwy sposób; podkreśla konieczność lepszego włączenia do tego mechanizmu obszarów miejskich i wzywa Komisję do aktywnej realizacji tej strategii; zauważa, że ZIT stanowią skuteczny mechanizm wdrożeniowy umożliwiający realizację zintegrowanych planów rewitalizacji i rozwoju obszarów miejskich; wzywa Komisję do wprowadzenia regulacji obejmujących finansowanie RLKS i ZIT z europejskich funduszy strukturalnych i 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inwestycyjnych jako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całości w celu wzmocnienia synergii;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21.  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zwraca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uwagę Komisji, że aby zdecydowanie zmierzać w kierunku celów strategii „Europa 2020”, zarówno przy okazji jej przeglądu, jak i przeglądu WRF należy zwrócić większą uwagę na kontekst regionalny i lokalny oraz na konkretną </w: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lastRenderedPageBreak/>
              <w:t>specyfikę danych obszarów;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8"/>
                <w:szCs w:val="18"/>
                <w:lang w:eastAsia="pl-PL"/>
              </w:rPr>
              <w:t>Rozwój kierowany przez lokalną społeczność (RLKS)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22.  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z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zadowoleniem przyjmuje nowy instrument RLKS, który wykracza poza inicjatywę LEADER, aby wzmocnić pozycję społeczności lokalnych i zapewnić konkretne rozwiązania lokalne, nie tylko za pośrednictwem EFRROW, lecz także innych europejskich funduszy strukturalnych i inwestycyjnych;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23.  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zwraca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uwagę, że RLKS stwarza możliwości dla obszarów miejskich i podmiejskich oraz że powinna być integralną częścią szerszych strategii rozwoju obszarów miejskich, w tym poprzez współpracę transgraniczną; przypomina, że w celu zapewnienia jak największej skuteczności strategii rozwoju terytorialnego rozwój obszarów miejskich musi być zrównoważony i spójny z rozwojem otaczających je obszarów podmiejskich i wiejskich;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24.  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z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żalem zauważa, że w niektórych państwach członkowskich RLKS zostanie wprowadzony w drodze podejścia jednofunduszowego, które może prowadzić do utraty szans na tworzenie skuteczniejszych lokalnych strategii rozwoju; przypomina znaczenie zintegrowanego podejścia oraz potrzebę zaangażowania możliwie jak największej liczby zainteresowanych stron z lokalnego społeczeństwa obywatelskiego;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25.  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z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zadowoleniem przyjmuje utworzenie horyzontalnej grupy roboczej ds. partnerstwa, która powstała dzięki DG REGIO;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26.  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apeluje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o konsekwentne w przestrzeganie kodeksu postępowania w zakresie partnerstwa, w szczególności w odniesieniu do stosowania zasady partnerstwa we wdrażaniu instrumentów ZIT i RLKS;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27.  zachęca do budowania potencjału, do poszerzania wiedzy i do aktywnego udziału partnerów gospodarczych i społecznych, a także podmiotów społeczeństwa obywatelskiego, 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tak aby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jak najwięcej partnerów mogło zaproponować strategie RLKS przed końcem okresu przedstawiania projektów (tzn. do dnia 31 grudnia 2017 r.);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28.  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wyraża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zaniepokojenie tym, że w niektórych państwach członkowskich RLKS przyjmuje czasami formę działań fasadowych, a nie jest przejawem autentycznego podejścia oddolnego; w tym kontekście domaga się, by podmioty lokalne posiadały realne kompetencje decyzyjne;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29.  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wzywa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Komisję, aby wspólnie z państwami członkowskimi zachęcała do wymiany najlepszych praktyk dotyczących lokalnych grup działania w oparciu o strategię informowania na poziomie europejskim o ich udanych projektach, wykorzystując istniejące instrumenty i platformy, takie jak TAIEX, REGIO, PEER 2 PEER, URBACT oraz sieć na rzecz rozwoju obszarów miejskich;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30.  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apeluje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do Komisji i państw członkowskich o korzystanie z inicjatyw RLKS oraz o zapewnienie większej elastyczności w ramach programów operacyjnych i w kontekście regionalnych, krajowych i unijnych ram politycznych, tak by uwzględniły one w większej mierze priorytety strategii RLKS; uznaje sukces lokalnych grup działania w zarządzaniu projektami i apeluje o przyznanie bardziej wszechstronnego finansowania i rozważenie zwiększenia zakresu działalności lokalnych grup działania; ubolewa, że władze krajowe w niektórych państwach członkowskich ograniczają RLKS do jednego konkretnego celu polityki; apeluje do Komisji, by dostarczyła państwom członkowskim wytycznych dotyczących finansowania RLKS w ramach podejścia wielofunduszowego, a także by zachęcała do korzystania z instrumentów 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finansowych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31.  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przypomina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, że rozporządzenie w sprawie EFS przewiduje szczególny priorytet inwestycyjny w ramach „strategii rozwoju lokalnego kierowanego przez społeczność” w kontekście celu tematycznego 9, i zachęca państwa członkowskie do uwzględnienia go w swoich programach operacyjnych; zaznacza, że fundusz ten może zapewnić istotne wsparcie dla terytorialnych paktów na rzecz zatrudnienia, strategii rozwoju obszarów miejskich oraz na potrzeby budowy zdolności instytucjonalnych na poziomie lokalnym i regionalnym, oraz zwraca się do Komisji o udzielenie dodatkowego wsparcia państwom członkowskim w realizacji tych szczególnych priorytetów inwestycyjnych, a także o uwzględnienie w swoich rocznych sprawozdaniach z działalności informacji o skali realizacji tych przedsięwzięć; wzywa Komisję do wykorzystania śródokresowego 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przeglądu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wieloletnich ram finansowych (WRF) do zajęcia się wykrytymi już trudnościami w stosowaniu tych instrumentów oraz do znalezienia odpowiednich rozwiązań;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32.  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uważa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, że takie narzędzia jak budżetowanie partycypacyjne powinny być uwzględnione w strategii RLKS, gdyż jest to element procesu demokratycznego przyczyniający się istotnie do zwiększenia zaangażowania partnerów społecznych i gospodarczych w celu wzmocnienia spójności społecznej na poziomie lokalnym i zwiększenia efektywności wydatków publicznych;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33.  podkreśla, że fundamentalne znaczenie ma niedyskryminujące i przejrzyste podejście oraz ograniczenie do minimum potencjalnych konfliktów interesów w interakcji między podmiotami publicznymi i prywatnymi w ramach dążenia do zachowania równowagi między skutecznością, uproszczeniem i przejrzystością; ponadto z zadowoleniem przyjmuje udział </w: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lastRenderedPageBreak/>
              <w:t xml:space="preserve">licznych i różnorodnych partnerów w lokalnych grupach działania; uważa za właściwą zasadę, 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zgodnie z którą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ani organy publiczne, ani jedna grupa interesu nie mogą posiadać więcej niż 49% praw głosu w lokalnych grupach działania, przewidzianą w obowiązujących przepisach ramowych, co sprawia, że możliwe staje się odejście od administracyjnego podejścia na rzecz podejścia zorientowanego na wyniki i przedsiębiorczość; zwraca się do Komisji o 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ścisłe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monitorowanie i ocenę wdrażania tej zasady, w tym okoliczności, w jakich można dopuścić odstępstwa, oraz o możliwe zapewnienie ukierunkowanej pomocy w budowaniu potencjału i pomocy technicznej;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8"/>
                <w:szCs w:val="18"/>
                <w:lang w:eastAsia="pl-PL"/>
              </w:rPr>
              <w:t>Zintegrowane inwestycje terytorialne (ZIT)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34.  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zauważa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, że przy wdrażaniu ZIT możliwe są różne podejścia do zarządzania; uważa jednak, że niezwykle istotne jest, by partnerzy lokalni pełnili rolę kluczowych podmiotów przy opracowywaniu strategii rozwoju terytorialnego w ramach ZIT, a także byli w pełni zaangażowani w obowiązki związane z zarządzaniem nimi oraz ich monitorowaniem i audytem, co pomoże w zapewnieniu rzeczywistego poczucia odpowiedzialności na poziomie lokalnym za działania związane z ZIT;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35.  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podkreśla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, że zintegrowane inwestycje terytorialne nie powinny ograniczać się jedynie do obszarów miejskich, lecz mogą dotyczyć obszarów geograficznych, takich jak przedmieścia, obszary metropolitalne, obszary wiejsko-miejskie, subregiony lub obszary transgraniczne; podkreśla, że ZIT najlepiej uwzględniają szczególne potrzeby terytorialne za sprawą większej elastyczności w określaniu ich zakresu terytorialnego, umożliwiając w ten sposób stosowanie podejścia rzeczywiście ukierunkowanego na konkretne obszary; uważa, że ZIT stanowią też właściwą strukturę umożliwiającą rozwiązywanie problemów dotyczących terytoriów o słabym dostępie do usług oraz społeczności odizolowanych i znajdujących się w wyjątkowo trudnej sytuacji; zwraca się do Komisji i państw członkowskich o optymalizację zasobów ludzkich i technicznych oraz o większe 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wykorzystanie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ZIT w dziedzinie współpracy transgranicznej;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36.  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podkreśla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, że wczesne zaangażowanie władz regionalnych i lokalnych oraz zainteresowanych podmiotów, w tym społeczeństwa obywatelskiego, a także delegowanie im w większym zakresie odpowiedzialności w ramach strategii rozwoju terytorialnego, o charakterze oddolnym, ma kluczowe znaczenie dla przyszłego poczucia odpowiedzialności za zintegrowaną strategię terytorialną, która zostanie wdrożona na szczeblach lokalnym i międzysektorowym, dla udziału w niej i dla jej powodzenia; domaga się zwiększenia zdolności do wykorzystania przez nie własnego potencjału rozwoju, w zgodzie z lokalną specyfiką;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37.  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zachęca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państwa członkowskie, aby opowiedziały się za wielofunduszowym podejściem do ZIT w celu osiągnięcia synergii między funduszami na danym terytorium, a także w celu podejmowania wyzwań w sposób bardziej kompleksowy; podkreśla, że ukierunkowane budowanie zdolności jest konieczne dla ułatwienia łączenia funduszy z różnych źródeł;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38.  podkreśla, że późne podjęcie na poziomie krajowym decyzji o wykorzystaniu instrumentu ZIT 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wskazano jako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podstawową przyczynę trudności z prawidłowym ukształtowaniem strategii terytorialnej, stworzeniem struktury koordynacji, ustaleniem budżetu oraz przygotowaniem krajowej podstawy prawnej dla ZIT;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39.  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z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zadowoleniem przyjmuje wysiłki podejmowane przez Komisję wspólnie z grupą ekspertów ds. spójności terytorialnej i obszarów miejskich (TCUM) dotyczące przygotowywania scenariuszy związanych z ZIT; popiera pogląd, iż takie wytyczne powinny pojawiać się na wcześniejszym etapie procesu programowania; uważa, że konieczna jest aktualizacja wytycznych za pomocą rzeczywistych przykładów i wniosków wyciągniętych z ZIT, gdy zostaną one wdrożone;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40.  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zwraca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się do Komisji o uwzględnienie wyników badania przeprowadzonego przez Komitet Regionów w 2015 r., efektywniejsze wykorzystanie narzędzi IT i mniejszą biurokrację, wprowadzenie elastyczniejszych przepisów dla krajów/regionów o bardzo niskim poziomie przydzielonych środków, usprawnienie mechanizmów współfinansowania w państwach członkowskich oraz o liczniejsze szkolenia dla osób odpowiedzialnych za zarządzanie funduszami i ich absorpcję, w tym dla wybieranych polityków;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b/>
                <w:bCs/>
                <w:i/>
                <w:iCs/>
                <w:color w:val="666666"/>
                <w:sz w:val="18"/>
                <w:szCs w:val="18"/>
                <w:lang w:eastAsia="pl-PL"/>
              </w:rPr>
              <w:t>Przyszłe zalecenia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41.  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jest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zdania, że RLKS i ZIT powinny odgrywać jeszcze ważniejszą rolę w przyszłej polityce spójności; wzywa Komisję do przygotowania sprawozdania, które uwzględni mocne i słabe strony oraz możliwości i zagrożenia związane z wprowadzeniem tych narzędzi (analiza SWOT), poprzedzającego nowy wniosek ustawodawczy w sprawie ewentualnych scenariuszy na okres po 2020 r. dotyczących tych narzędzi;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42.  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zwraca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się o przeanalizowanie w wyżej wspomnianym sprawozdaniu wpływu i skuteczności RLKS i ZIT, a także tego, czy w przepisach dotyczących polityki spójności na okres po 2020 r. pożądane byłoby obowiązkowe podejście przewidujące zapewnienie kwot minimalnych na te instrumenty w programach operacyjnych; proponuje dokonanie oceny opracowania konkretnych zachęt mających na celu nakłonienie państw członkowskich do wdrażania RLKS i ZIT, wraz z potencjalnymi środkami zapewnienia większej spójności między programami operacyjnymi a RLKS i ZIT; podkreśla, że analiza ta powinna </w:t>
            </w: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lastRenderedPageBreak/>
              <w:t>opierać się na odpowiednim zestawie wskaźników odzwierciedlających zarówno aspekty jakościowe, jak i ilościowe;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43.  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domaga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się, aby podejście oddolne w kontekście ZIT zostało sformalizowane w polityce spójności następnej generacji w trakcie programowania oraz na etapie wdrażania;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44.  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zachęca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Komisję i państwa członkowskie, w koordynacji z właściwymi władzami lokalnymi, do monitorowania wykorzystania środków ZIT, których znaczenie pod względem ilościowym jest większe niż dotychczas ze względu na ich połączenie; podkreśla, że jest to ważne ze względu na ograniczanie możliwości występowania korupcji w państwach członkowskich;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45.  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podkreśla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konieczność zastosowania podejścia dwutorowego, w szczególności w odniesieniu do zapewniania wytycznych, odnoszącego się z jednej strony do tych państw członkowskich, które mają wyłącznie krajowe programy operacyjne, a z drugiej strony do tych, które mają również regionalne programy operacyjne;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46.  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apeluje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o poprawę koordynacji między Komisją a państwami członkowskimi i regionami w odniesieniu do wytycznych dotyczących tych narzędzi; zaleca, aby wytyczne były opracowywane jednocześnie z wnioskiem dotyczącym nowego prawodawstwa w zakresie polityki spójności na okres programowania po roku 2020, z uwzględnieniem kolejnych aktualizacji; podkreśla, że umożliwiłoby to terminowe przedstawianie dokumentów zawierających wytyczne, zwiększyło pewność prawną dla wszystkich stron, a także zapewniłoby wyjaśnienia dotyczące tego, w jaki sposób proponowane przepisy miałyby być stosowane w praktyce;</w:t>
            </w:r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o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br/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o</w:t>
            </w:r>
            <w:proofErr w:type="spell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   </w:t>
            </w:r>
            <w:proofErr w:type="spell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o</w:t>
            </w:r>
            <w:proofErr w:type="spellEnd"/>
          </w:p>
          <w:p w:rsidR="00D515D8" w:rsidRPr="00D515D8" w:rsidRDefault="00D515D8" w:rsidP="00D515D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47.  </w:t>
            </w:r>
            <w:proofErr w:type="gramStart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>zobowiązuje</w:t>
            </w:r>
            <w:proofErr w:type="gramEnd"/>
            <w:r w:rsidRPr="00D515D8"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  <w:t xml:space="preserve"> swojego przewodniczącego do przekazania niniejszej rezolucji Radzie, Komisji oraz parlamentom regionalnym i krajowym.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6"/>
            </w:tblGrid>
            <w:tr w:rsidR="00D515D8" w:rsidRPr="00D515D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15D8" w:rsidRPr="00D515D8" w:rsidRDefault="00D515D8" w:rsidP="00D515D8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666666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inherit" w:eastAsia="Times New Roman" w:hAnsi="inherit" w:cs="Arial"/>
                      <w:noProof/>
                      <w:color w:val="666666"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1716405" cy="8890"/>
                        <wp:effectExtent l="0" t="0" r="0" b="0"/>
                        <wp:docPr id="1" name="Obraz 1" descr="http://www.europarl.europa.eu/img/struct/navigation/h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uroparl.europa.eu/img/struct/navigation/h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6405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3506"/>
                  </w:tblGrid>
                  <w:tr w:rsidR="00D515D8" w:rsidRPr="00D515D8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bookmarkStart w:id="12" w:name="def_1_1"/>
                      <w:p w:rsidR="00D515D8" w:rsidRPr="00D515D8" w:rsidRDefault="00D515D8" w:rsidP="00D515D8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instrText xml:space="preserve"> HYPERLINK "http://www.europarl.europa.eu/sides/getDoc.do?type=TA&amp;reference=P8-TA-2016-0211&amp;language=PL&amp;ring=A8-2016-0032" \l "ref_1_1" </w:instrText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  <w:r w:rsidRPr="00D515D8">
                          <w:rPr>
                            <w:rFonts w:ascii="inherit" w:eastAsia="Times New Roman" w:hAnsi="inherit" w:cs="Arial"/>
                            <w:b/>
                            <w:bCs/>
                            <w:color w:val="FFAE63"/>
                            <w:sz w:val="24"/>
                            <w:szCs w:val="24"/>
                            <w:lang w:eastAsia="pl-PL"/>
                          </w:rPr>
                          <w:t>(1)</w:t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  <w:bookmarkEnd w:id="12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515D8" w:rsidRPr="00D515D8" w:rsidRDefault="00D515D8" w:rsidP="00D515D8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Dz.U. L 347 z 20.12.2013, </w:t>
                        </w:r>
                        <w:proofErr w:type="gramStart"/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s</w:t>
                        </w:r>
                        <w:proofErr w:type="gramEnd"/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. 320.</w:t>
                        </w:r>
                      </w:p>
                    </w:tc>
                  </w:tr>
                  <w:bookmarkStart w:id="13" w:name="def_1_2"/>
                  <w:tr w:rsidR="00D515D8" w:rsidRPr="00D515D8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515D8" w:rsidRPr="00D515D8" w:rsidRDefault="00D515D8" w:rsidP="00D515D8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instrText xml:space="preserve"> HYPERLINK "http://www.europarl.europa.eu/sides/getDoc.do?type=TA&amp;reference=P8-TA-2016-0211&amp;language=PL&amp;ring=A8-2016-0032" \l "ref_1_2" </w:instrText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  <w:r w:rsidRPr="00D515D8">
                          <w:rPr>
                            <w:rFonts w:ascii="inherit" w:eastAsia="Times New Roman" w:hAnsi="inherit" w:cs="Arial"/>
                            <w:b/>
                            <w:bCs/>
                            <w:color w:val="FFAE63"/>
                            <w:sz w:val="24"/>
                            <w:szCs w:val="24"/>
                            <w:lang w:eastAsia="pl-PL"/>
                          </w:rPr>
                          <w:t>(2)</w:t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  <w:bookmarkEnd w:id="13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515D8" w:rsidRPr="00D515D8" w:rsidRDefault="00D515D8" w:rsidP="00D515D8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Dz.U. L 347 z 20.12.2013, </w:t>
                        </w:r>
                        <w:proofErr w:type="gramStart"/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s</w:t>
                        </w:r>
                        <w:proofErr w:type="gramEnd"/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. 289.</w:t>
                        </w:r>
                      </w:p>
                    </w:tc>
                  </w:tr>
                  <w:bookmarkStart w:id="14" w:name="def_1_3"/>
                  <w:tr w:rsidR="00D515D8" w:rsidRPr="00D515D8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515D8" w:rsidRPr="00D515D8" w:rsidRDefault="00D515D8" w:rsidP="00D515D8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instrText xml:space="preserve"> HYPERLINK "http://www.europarl.europa.eu/sides/getDoc.do?type=TA&amp;reference=P8-TA-2016-0211&amp;language=PL&amp;ring=A8-2016-0032" \l "ref_1_3" </w:instrText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  <w:r w:rsidRPr="00D515D8">
                          <w:rPr>
                            <w:rFonts w:ascii="inherit" w:eastAsia="Times New Roman" w:hAnsi="inherit" w:cs="Arial"/>
                            <w:b/>
                            <w:bCs/>
                            <w:color w:val="FFAE63"/>
                            <w:sz w:val="24"/>
                            <w:szCs w:val="24"/>
                            <w:lang w:eastAsia="pl-PL"/>
                          </w:rPr>
                          <w:t>(3)</w:t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  <w:bookmarkEnd w:id="14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515D8" w:rsidRPr="00D515D8" w:rsidRDefault="00D515D8" w:rsidP="00D515D8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Dz.U. L 347 z 20.12.2013, </w:t>
                        </w:r>
                        <w:proofErr w:type="gramStart"/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s</w:t>
                        </w:r>
                        <w:proofErr w:type="gramEnd"/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. 487.</w:t>
                        </w:r>
                      </w:p>
                    </w:tc>
                  </w:tr>
                  <w:bookmarkStart w:id="15" w:name="def_1_4"/>
                  <w:tr w:rsidR="00D515D8" w:rsidRPr="00D515D8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515D8" w:rsidRPr="00D515D8" w:rsidRDefault="00D515D8" w:rsidP="00D515D8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instrText xml:space="preserve"> HYPERLINK "http://www.europarl.europa.eu/sides/getDoc.do?type=TA&amp;reference=P8-TA-2016-0211&amp;language=PL&amp;ring=A8-2016-0032" \l "ref_1_4" </w:instrText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  <w:r w:rsidRPr="00D515D8">
                          <w:rPr>
                            <w:rFonts w:ascii="inherit" w:eastAsia="Times New Roman" w:hAnsi="inherit" w:cs="Arial"/>
                            <w:b/>
                            <w:bCs/>
                            <w:color w:val="FFAE63"/>
                            <w:sz w:val="24"/>
                            <w:szCs w:val="24"/>
                            <w:lang w:eastAsia="pl-PL"/>
                          </w:rPr>
                          <w:t>(4)</w:t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  <w:bookmarkEnd w:id="15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515D8" w:rsidRPr="00D515D8" w:rsidRDefault="00D515D8" w:rsidP="00D515D8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Dz.U. L 149 z 20.5.2014, </w:t>
                        </w:r>
                        <w:proofErr w:type="gramStart"/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s</w:t>
                        </w:r>
                        <w:proofErr w:type="gramEnd"/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. 1.</w:t>
                        </w:r>
                      </w:p>
                    </w:tc>
                  </w:tr>
                  <w:bookmarkStart w:id="16" w:name="def_1_5"/>
                  <w:tr w:rsidR="00D515D8" w:rsidRPr="00D515D8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515D8" w:rsidRPr="00D515D8" w:rsidRDefault="00D515D8" w:rsidP="00D515D8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instrText xml:space="preserve"> HYPERLINK "http://www.europarl.europa.eu/sides/getDoc.do?type=TA&amp;reference=P8-TA-2016-0211&amp;language=PL&amp;ring=A8-2016-0032" \l "ref_1_5" </w:instrText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  <w:r w:rsidRPr="00D515D8">
                          <w:rPr>
                            <w:rFonts w:ascii="inherit" w:eastAsia="Times New Roman" w:hAnsi="inherit" w:cs="Arial"/>
                            <w:b/>
                            <w:bCs/>
                            <w:color w:val="FFAE63"/>
                            <w:sz w:val="24"/>
                            <w:szCs w:val="24"/>
                            <w:lang w:eastAsia="pl-PL"/>
                          </w:rPr>
                          <w:t>(5)</w:t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  <w:bookmarkEnd w:id="16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515D8" w:rsidRPr="00D515D8" w:rsidRDefault="00D515D8" w:rsidP="00D515D8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Dz.U. L 347 z 20.12.2013, </w:t>
                        </w:r>
                        <w:proofErr w:type="gramStart"/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s</w:t>
                        </w:r>
                        <w:proofErr w:type="gramEnd"/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. 259.</w:t>
                        </w:r>
                      </w:p>
                    </w:tc>
                  </w:tr>
                  <w:bookmarkStart w:id="17" w:name="def_1_6"/>
                  <w:tr w:rsidR="00D515D8" w:rsidRPr="00D515D8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515D8" w:rsidRPr="00D515D8" w:rsidRDefault="00D515D8" w:rsidP="00D515D8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instrText xml:space="preserve"> HYPERLINK "http://www.europarl.europa.eu/sides/getDoc.do?type=TA&amp;reference=P8-TA-2016-0211&amp;language=PL&amp;ring=A8-2016-0032" \l "ref_1_6" </w:instrText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  <w:r w:rsidRPr="00D515D8">
                          <w:rPr>
                            <w:rFonts w:ascii="inherit" w:eastAsia="Times New Roman" w:hAnsi="inherit" w:cs="Arial"/>
                            <w:b/>
                            <w:bCs/>
                            <w:color w:val="FFAE63"/>
                            <w:sz w:val="24"/>
                            <w:szCs w:val="24"/>
                            <w:lang w:eastAsia="pl-PL"/>
                          </w:rPr>
                          <w:t>(6)</w:t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  <w:bookmarkEnd w:id="17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515D8" w:rsidRPr="00D515D8" w:rsidRDefault="00D515D8" w:rsidP="00D515D8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Dz.U. C 17 z 19.1.2013, </w:t>
                        </w:r>
                        <w:proofErr w:type="gramStart"/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s</w:t>
                        </w:r>
                        <w:proofErr w:type="gramEnd"/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. 18.</w:t>
                        </w:r>
                      </w:p>
                    </w:tc>
                  </w:tr>
                  <w:bookmarkStart w:id="18" w:name="def_1_7"/>
                  <w:tr w:rsidR="00D515D8" w:rsidRPr="00D515D8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515D8" w:rsidRPr="00D515D8" w:rsidRDefault="00D515D8" w:rsidP="00D515D8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instrText xml:space="preserve"> HYPERLINK "http://www.europarl.europa.eu/sides/getDoc.do?type=TA&amp;reference=P8-TA-2016-0211&amp;language=PL&amp;ring=A8-2016-0032" \l "ref_1_7" </w:instrText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  <w:r w:rsidRPr="00D515D8">
                          <w:rPr>
                            <w:rFonts w:ascii="inherit" w:eastAsia="Times New Roman" w:hAnsi="inherit" w:cs="Arial"/>
                            <w:b/>
                            <w:bCs/>
                            <w:color w:val="FFAE63"/>
                            <w:sz w:val="24"/>
                            <w:szCs w:val="24"/>
                            <w:lang w:eastAsia="pl-PL"/>
                          </w:rPr>
                          <w:t>(7)</w:t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  <w:bookmarkEnd w:id="18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515D8" w:rsidRPr="00D515D8" w:rsidRDefault="00D515D8" w:rsidP="00D515D8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Dz.U. C 313 z 22.9.2015, </w:t>
                        </w:r>
                        <w:proofErr w:type="gramStart"/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s</w:t>
                        </w:r>
                        <w:proofErr w:type="gramEnd"/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. 31.</w:t>
                        </w:r>
                      </w:p>
                    </w:tc>
                  </w:tr>
                  <w:bookmarkStart w:id="19" w:name="def_1_8"/>
                  <w:tr w:rsidR="00D515D8" w:rsidRPr="00D515D8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515D8" w:rsidRPr="00D515D8" w:rsidRDefault="00D515D8" w:rsidP="00D515D8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instrText xml:space="preserve"> HYPERLINK "http://www.europarl.europa.eu/sides/getDoc.do?type=TA&amp;reference=P8-TA-2016-0211&amp;language=PL&amp;ring=A8-2016-0032" \l "ref_1_8" </w:instrText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  <w:r w:rsidRPr="00D515D8">
                          <w:rPr>
                            <w:rFonts w:ascii="inherit" w:eastAsia="Times New Roman" w:hAnsi="inherit" w:cs="Arial"/>
                            <w:b/>
                            <w:bCs/>
                            <w:color w:val="FFAE63"/>
                            <w:sz w:val="24"/>
                            <w:szCs w:val="24"/>
                            <w:lang w:eastAsia="pl-PL"/>
                          </w:rPr>
                          <w:t>(8)</w:t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  <w:bookmarkEnd w:id="19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515D8" w:rsidRPr="00D515D8" w:rsidRDefault="00D515D8" w:rsidP="00D515D8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Dz.U. C 230 z 14.7.2015, </w:t>
                        </w:r>
                        <w:proofErr w:type="gramStart"/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s</w:t>
                        </w:r>
                        <w:proofErr w:type="gramEnd"/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. 1.</w:t>
                        </w:r>
                      </w:p>
                    </w:tc>
                  </w:tr>
                  <w:bookmarkStart w:id="20" w:name="def_1_9"/>
                  <w:tr w:rsidR="00D515D8" w:rsidRPr="00D515D8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515D8" w:rsidRPr="00D515D8" w:rsidRDefault="00D515D8" w:rsidP="00D515D8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instrText xml:space="preserve"> HYPERLINK "http://www.europarl.europa.eu/sides/getDoc.do?type=TA&amp;reference=P8-TA-2016-0211&amp;language=PL&amp;ring=A8-2016-0032" \l "ref_1_9" </w:instrText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  <w:r w:rsidRPr="00D515D8">
                          <w:rPr>
                            <w:rFonts w:ascii="inherit" w:eastAsia="Times New Roman" w:hAnsi="inherit" w:cs="Arial"/>
                            <w:b/>
                            <w:bCs/>
                            <w:color w:val="FFAE63"/>
                            <w:sz w:val="24"/>
                            <w:szCs w:val="24"/>
                            <w:lang w:eastAsia="pl-PL"/>
                          </w:rPr>
                          <w:t>(9)</w:t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  <w:bookmarkEnd w:id="20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515D8" w:rsidRPr="00D515D8" w:rsidRDefault="00D515D8" w:rsidP="00D515D8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Dz.U. C 153 E z 31.5.2013, </w:t>
                        </w:r>
                        <w:proofErr w:type="gramStart"/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s</w:t>
                        </w:r>
                        <w:proofErr w:type="gramEnd"/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. 9.</w:t>
                        </w:r>
                      </w:p>
                    </w:tc>
                  </w:tr>
                  <w:bookmarkStart w:id="21" w:name="def_1_10"/>
                  <w:tr w:rsidR="00D515D8" w:rsidRPr="00D515D8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515D8" w:rsidRPr="00D515D8" w:rsidRDefault="00D515D8" w:rsidP="00D515D8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instrText xml:space="preserve"> HYPERLINK "http://www.europarl.europa.eu/sides/getDoc.do?type=TA&amp;reference=P8-TA-2016-0211&amp;language=PL&amp;ring=A8-2016-0032" \l "ref_1_10" </w:instrText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  <w:r w:rsidRPr="00D515D8">
                          <w:rPr>
                            <w:rFonts w:ascii="inherit" w:eastAsia="Times New Roman" w:hAnsi="inherit" w:cs="Arial"/>
                            <w:b/>
                            <w:bCs/>
                            <w:color w:val="FFAE63"/>
                            <w:sz w:val="24"/>
                            <w:szCs w:val="24"/>
                            <w:lang w:eastAsia="pl-PL"/>
                          </w:rPr>
                          <w:t>(10)</w:t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  <w:bookmarkEnd w:id="21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515D8" w:rsidRPr="00D515D8" w:rsidRDefault="00D515D8" w:rsidP="00D515D8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Dz.U. C 440 z 30.12.2015, </w:t>
                        </w:r>
                        <w:proofErr w:type="gramStart"/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s</w:t>
                        </w:r>
                        <w:proofErr w:type="gramEnd"/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. 6.</w:t>
                        </w:r>
                      </w:p>
                    </w:tc>
                  </w:tr>
                  <w:bookmarkStart w:id="22" w:name="def_1_11"/>
                  <w:tr w:rsidR="00D515D8" w:rsidRPr="00D515D8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515D8" w:rsidRPr="00D515D8" w:rsidRDefault="00D515D8" w:rsidP="00D515D8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instrText xml:space="preserve"> HYPERLINK "http://www.europarl.europa.eu/sides/getDoc.do?type=TA&amp;reference=P8-TA-2016-0211&amp;language=PL&amp;ring=A8-2016-0032" \l "ref_1_11" </w:instrText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  <w:r w:rsidRPr="00D515D8">
                          <w:rPr>
                            <w:rFonts w:ascii="inherit" w:eastAsia="Times New Roman" w:hAnsi="inherit" w:cs="Arial"/>
                            <w:b/>
                            <w:bCs/>
                            <w:color w:val="FFAE63"/>
                            <w:sz w:val="24"/>
                            <w:szCs w:val="24"/>
                            <w:lang w:eastAsia="pl-PL"/>
                          </w:rPr>
                          <w:t>(11)</w:t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  <w:bookmarkEnd w:id="22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515D8" w:rsidRPr="00D515D8" w:rsidRDefault="00D515D8" w:rsidP="00D515D8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Teksty przyjęte, </w:t>
                        </w:r>
                        <w:hyperlink r:id="rId8" w:history="1">
                          <w:r w:rsidRPr="00D515D8">
                            <w:rPr>
                              <w:rFonts w:ascii="inherit" w:eastAsia="Times New Roman" w:hAnsi="inherit" w:cs="Arial"/>
                              <w:b/>
                              <w:bCs/>
                              <w:color w:val="FFAE63"/>
                              <w:sz w:val="24"/>
                              <w:szCs w:val="24"/>
                              <w:lang w:eastAsia="pl-PL"/>
                            </w:rPr>
                            <w:t>P7_TA(2014)0015</w:t>
                          </w:r>
                        </w:hyperlink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</w:tc>
                  </w:tr>
                  <w:bookmarkStart w:id="23" w:name="def_1_12"/>
                  <w:tr w:rsidR="00D515D8" w:rsidRPr="00D515D8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515D8" w:rsidRPr="00D515D8" w:rsidRDefault="00D515D8" w:rsidP="00D515D8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instrText xml:space="preserve"> HYPERLINK "http://www.europarl.europa.eu/sides/getDoc.do?type=TA&amp;reference=P8-TA-2016-0211&amp;language=PL&amp;ring=A8-2016-0032" \l "ref_1_12" </w:instrText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  <w:r w:rsidRPr="00D515D8">
                          <w:rPr>
                            <w:rFonts w:ascii="inherit" w:eastAsia="Times New Roman" w:hAnsi="inherit" w:cs="Arial"/>
                            <w:b/>
                            <w:bCs/>
                            <w:color w:val="FFAE63"/>
                            <w:sz w:val="24"/>
                            <w:szCs w:val="24"/>
                            <w:lang w:eastAsia="pl-PL"/>
                          </w:rPr>
                          <w:t>(12)</w:t>
                        </w: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  <w:bookmarkEnd w:id="23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515D8" w:rsidRPr="00D515D8" w:rsidRDefault="00D515D8" w:rsidP="00D515D8">
                        <w:pPr>
                          <w:spacing w:after="0" w:line="240" w:lineRule="auto"/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Teksty przyjęte, </w:t>
                        </w:r>
                        <w:hyperlink r:id="rId9" w:history="1">
                          <w:r w:rsidRPr="00D515D8">
                            <w:rPr>
                              <w:rFonts w:ascii="inherit" w:eastAsia="Times New Roman" w:hAnsi="inherit" w:cs="Arial"/>
                              <w:b/>
                              <w:bCs/>
                              <w:color w:val="FFAE63"/>
                              <w:sz w:val="24"/>
                              <w:szCs w:val="24"/>
                              <w:lang w:eastAsia="pl-PL"/>
                            </w:rPr>
                            <w:t>P8_TA(2015)0419</w:t>
                          </w:r>
                        </w:hyperlink>
                        <w:r w:rsidRPr="00D515D8">
                          <w:rPr>
                            <w:rFonts w:ascii="inherit" w:eastAsia="Times New Roman" w:hAnsi="inherit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</w:tc>
                  </w:tr>
                </w:tbl>
                <w:p w:rsidR="00D515D8" w:rsidRPr="00D515D8" w:rsidRDefault="00D515D8" w:rsidP="00D515D8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666666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515D8" w:rsidRPr="00D515D8" w:rsidRDefault="00D515D8" w:rsidP="00D515D8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18"/>
                <w:szCs w:val="18"/>
                <w:lang w:eastAsia="pl-PL"/>
              </w:rPr>
            </w:pPr>
          </w:p>
        </w:tc>
      </w:tr>
    </w:tbl>
    <w:p w:rsidR="00D515D8" w:rsidRPr="00D515D8" w:rsidRDefault="00D515D8" w:rsidP="00D515D8">
      <w:pPr>
        <w:spacing w:after="0" w:line="240" w:lineRule="auto"/>
        <w:rPr>
          <w:rFonts w:ascii="inherit" w:eastAsia="Times New Roman" w:hAnsi="inherit" w:cs="Arial"/>
          <w:vanish/>
          <w:color w:val="000000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2"/>
      </w:tblGrid>
      <w:tr w:rsidR="00D515D8" w:rsidRPr="00D515D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5D8" w:rsidRPr="00D515D8" w:rsidRDefault="00D515D8" w:rsidP="00D515D8">
            <w:pPr>
              <w:spacing w:after="0" w:line="240" w:lineRule="auto"/>
              <w:rPr>
                <w:rFonts w:ascii="inherit" w:eastAsia="Times New Roman" w:hAnsi="inherit" w:cs="Arial"/>
                <w:color w:val="03529D"/>
                <w:sz w:val="17"/>
                <w:szCs w:val="17"/>
                <w:lang w:eastAsia="pl-PL"/>
              </w:rPr>
            </w:pPr>
            <w:r w:rsidRPr="00D515D8">
              <w:rPr>
                <w:rFonts w:ascii="inherit" w:eastAsia="Times New Roman" w:hAnsi="inherit" w:cs="Arial"/>
                <w:color w:val="03529D"/>
                <w:sz w:val="17"/>
                <w:szCs w:val="17"/>
                <w:lang w:eastAsia="pl-PL"/>
              </w:rPr>
              <w:t>Ostatnia aktualizacja: 11 maj 2016</w:t>
            </w:r>
          </w:p>
        </w:tc>
      </w:tr>
    </w:tbl>
    <w:p w:rsidR="00CA0920" w:rsidRDefault="00CA0920">
      <w:bookmarkStart w:id="24" w:name="_GoBack"/>
      <w:bookmarkEnd w:id="24"/>
    </w:p>
    <w:sectPr w:rsidR="00CA0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D8"/>
    <w:rsid w:val="00CA0920"/>
    <w:rsid w:val="00D5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alic1">
    <w:name w:val="italic1"/>
    <w:basedOn w:val="Domylnaczcionkaakapitu"/>
    <w:rsid w:val="00D515D8"/>
    <w:rPr>
      <w:i/>
      <w:iCs/>
    </w:rPr>
  </w:style>
  <w:style w:type="character" w:customStyle="1" w:styleId="sup1">
    <w:name w:val="sup1"/>
    <w:basedOn w:val="Domylnaczcionkaakapitu"/>
    <w:rsid w:val="00D515D8"/>
    <w:rPr>
      <w:sz w:val="19"/>
      <w:szCs w:val="19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alic1">
    <w:name w:val="italic1"/>
    <w:basedOn w:val="Domylnaczcionkaakapitu"/>
    <w:rsid w:val="00D515D8"/>
    <w:rPr>
      <w:i/>
      <w:iCs/>
    </w:rPr>
  </w:style>
  <w:style w:type="character" w:customStyle="1" w:styleId="sup1">
    <w:name w:val="sup1"/>
    <w:basedOn w:val="Domylnaczcionkaakapitu"/>
    <w:rsid w:val="00D515D8"/>
    <w:rPr>
      <w:sz w:val="19"/>
      <w:szCs w:val="19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sides/getDoc.do?type=TA&amp;reference=P7-TA-2014-0015&amp;language=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roparl.europa.eu/sides/getDoc.do?type=REPORT&amp;reference=A8-2016-0032&amp;language=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uroparl.europa.eu/oeil/popups/ficheprocedure.do?lang=en&amp;reference=2015/2224(INI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roparl.europa.eu/sides/getDoc.do?type=TA&amp;reference=P8-TA-2015-0419&amp;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5764</Words>
  <Characters>34586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40270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Markuszewska</dc:creator>
  <cp:lastModifiedBy>Agata Markuszewska</cp:lastModifiedBy>
  <cp:revision>1</cp:revision>
  <dcterms:created xsi:type="dcterms:W3CDTF">2016-06-24T07:07:00Z</dcterms:created>
  <dcterms:modified xsi:type="dcterms:W3CDTF">2016-06-24T07:08:00Z</dcterms:modified>
</cp:coreProperties>
</file>