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7" w:rsidRPr="0090011D" w:rsidRDefault="006A58E1" w:rsidP="002636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Sprawozdanie z d</w:t>
      </w:r>
      <w:r w:rsidR="00263657" w:rsidRPr="0090011D">
        <w:rPr>
          <w:b/>
          <w:i/>
          <w:sz w:val="32"/>
          <w:szCs w:val="32"/>
        </w:rPr>
        <w:t>rugie</w:t>
      </w:r>
      <w:r>
        <w:rPr>
          <w:b/>
          <w:i/>
          <w:sz w:val="32"/>
          <w:szCs w:val="32"/>
        </w:rPr>
        <w:t>go</w:t>
      </w:r>
      <w:r w:rsidR="00263657" w:rsidRPr="0090011D">
        <w:rPr>
          <w:b/>
          <w:i/>
          <w:sz w:val="32"/>
          <w:szCs w:val="32"/>
        </w:rPr>
        <w:t xml:space="preserve"> spotkanie grupy tematycznej</w:t>
      </w:r>
      <w:r w:rsidRPr="006A58E1">
        <w:rPr>
          <w:b/>
          <w:i/>
          <w:sz w:val="32"/>
          <w:szCs w:val="32"/>
        </w:rPr>
        <w:t xml:space="preserve"> </w:t>
      </w:r>
      <w:r w:rsidR="00164188">
        <w:rPr>
          <w:b/>
          <w:i/>
          <w:sz w:val="32"/>
          <w:szCs w:val="32"/>
        </w:rPr>
        <w:br/>
      </w:r>
      <w:r w:rsidRPr="006A58E1">
        <w:rPr>
          <w:b/>
          <w:i/>
          <w:sz w:val="32"/>
          <w:szCs w:val="32"/>
        </w:rPr>
        <w:t>dn.</w:t>
      </w:r>
      <w:r w:rsidR="00164188">
        <w:rPr>
          <w:b/>
          <w:i/>
          <w:sz w:val="32"/>
          <w:szCs w:val="32"/>
        </w:rPr>
        <w:t xml:space="preserve"> </w:t>
      </w:r>
      <w:r w:rsidRPr="006A58E1">
        <w:rPr>
          <w:b/>
          <w:i/>
          <w:sz w:val="32"/>
          <w:szCs w:val="32"/>
        </w:rPr>
        <w:t>14</w:t>
      </w:r>
      <w:r w:rsidR="00164188">
        <w:rPr>
          <w:b/>
          <w:i/>
          <w:sz w:val="32"/>
          <w:szCs w:val="32"/>
        </w:rPr>
        <w:t xml:space="preserve"> </w:t>
      </w:r>
      <w:r w:rsidRPr="006A58E1">
        <w:rPr>
          <w:b/>
          <w:i/>
          <w:sz w:val="32"/>
          <w:szCs w:val="32"/>
        </w:rPr>
        <w:t>grudnia</w:t>
      </w:r>
      <w:r w:rsidR="00164188">
        <w:rPr>
          <w:b/>
          <w:i/>
          <w:sz w:val="32"/>
          <w:szCs w:val="32"/>
        </w:rPr>
        <w:t xml:space="preserve"> </w:t>
      </w:r>
      <w:r w:rsidRPr="006A58E1">
        <w:rPr>
          <w:b/>
          <w:i/>
          <w:sz w:val="32"/>
          <w:szCs w:val="32"/>
        </w:rPr>
        <w:t xml:space="preserve">2016 </w:t>
      </w:r>
      <w:r w:rsidR="00B8061E">
        <w:rPr>
          <w:b/>
          <w:i/>
          <w:sz w:val="32"/>
          <w:szCs w:val="32"/>
        </w:rPr>
        <w:t xml:space="preserve">r. </w:t>
      </w:r>
      <w:r w:rsidRPr="006A58E1">
        <w:rPr>
          <w:b/>
          <w:i/>
          <w:sz w:val="32"/>
          <w:szCs w:val="32"/>
        </w:rPr>
        <w:t>w Brukseli</w:t>
      </w:r>
    </w:p>
    <w:p w:rsidR="000E612F" w:rsidRPr="00A744EB" w:rsidRDefault="000E612F" w:rsidP="000E612F">
      <w:pPr>
        <w:jc w:val="both"/>
      </w:pPr>
      <w:r w:rsidRPr="00A744EB">
        <w:t xml:space="preserve">Na spotkaniu zaprezentowane zostały przykłady inicjatyw, które mogą być inspiracją dla innych. Ponadto członkowie grupy nakreślili zakres </w:t>
      </w:r>
      <w:r w:rsidR="00A744EB" w:rsidRPr="00A744EB">
        <w:t>działań, jakie</w:t>
      </w:r>
      <w:r w:rsidRPr="00A744EB">
        <w:t xml:space="preserve"> powinny zostać podjęte w celu osiągnięcia </w:t>
      </w:r>
      <w:r w:rsidR="00A81134" w:rsidRPr="00A744EB">
        <w:t>istotnego</w:t>
      </w:r>
      <w:r w:rsidRPr="00A744EB">
        <w:t xml:space="preserve"> wkładu </w:t>
      </w:r>
      <w:r w:rsidR="00A744EB" w:rsidRPr="00A744EB">
        <w:t>Grupy Tematycznej „</w:t>
      </w:r>
      <w:r w:rsidR="00A744EB" w:rsidRPr="00A744EB">
        <w:rPr>
          <w:sz w:val="24"/>
          <w:szCs w:val="24"/>
        </w:rPr>
        <w:t xml:space="preserve">Gospodarka wiejska oparta na efektywnym wykorzystaniu zasobów" (GT) </w:t>
      </w:r>
      <w:r w:rsidRPr="00A744EB">
        <w:t>w po</w:t>
      </w:r>
      <w:r w:rsidR="00A60DA8" w:rsidRPr="00A744EB">
        <w:t>pra</w:t>
      </w:r>
      <w:r w:rsidRPr="00A744EB">
        <w:t xml:space="preserve">wę wdrażania </w:t>
      </w:r>
      <w:r w:rsidR="00A60DA8" w:rsidRPr="00A744EB">
        <w:t>Programu Rozwoju Obszarów Wiejskich (</w:t>
      </w:r>
      <w:r w:rsidRPr="00A744EB">
        <w:t>PROW</w:t>
      </w:r>
      <w:r w:rsidR="00A60DA8" w:rsidRPr="00A744EB">
        <w:t>)</w:t>
      </w:r>
      <w:r w:rsidRPr="00A744EB">
        <w:t xml:space="preserve"> w całej UE.</w:t>
      </w:r>
    </w:p>
    <w:p w:rsidR="00DB02F4" w:rsidRPr="006A58E1" w:rsidRDefault="006A58E1" w:rsidP="006A58E1">
      <w:pPr>
        <w:rPr>
          <w:b/>
          <w:i/>
          <w:sz w:val="26"/>
          <w:szCs w:val="26"/>
        </w:rPr>
      </w:pPr>
      <w:r w:rsidRPr="006A58E1">
        <w:rPr>
          <w:b/>
          <w:i/>
          <w:sz w:val="26"/>
          <w:szCs w:val="26"/>
        </w:rPr>
        <w:t>O</w:t>
      </w:r>
      <w:r w:rsidR="00DB02F4" w:rsidRPr="006A58E1">
        <w:rPr>
          <w:b/>
          <w:i/>
          <w:sz w:val="26"/>
          <w:szCs w:val="26"/>
        </w:rPr>
        <w:t>bszary szczególnego zainteresowania</w:t>
      </w:r>
    </w:p>
    <w:p w:rsidR="00DB02F4" w:rsidRPr="0090011D" w:rsidRDefault="00DB02F4" w:rsidP="00DB02F4">
      <w:pPr>
        <w:jc w:val="both"/>
        <w:rPr>
          <w:i/>
        </w:rPr>
      </w:pPr>
      <w:r>
        <w:t>Trzy obszary tematyczne (</w:t>
      </w:r>
      <w:r w:rsidR="00A81134">
        <w:t>g</w:t>
      </w:r>
      <w:r w:rsidR="006A58E1">
        <w:t>leby i zawarte w niej</w:t>
      </w:r>
      <w:r w:rsidRPr="00DB02F4">
        <w:t xml:space="preserve"> </w:t>
      </w:r>
      <w:r w:rsidRPr="006A58E1">
        <w:t>składniki</w:t>
      </w:r>
      <w:r w:rsidRPr="00DB02F4">
        <w:t xml:space="preserve"> </w:t>
      </w:r>
      <w:r w:rsidR="0098123B" w:rsidRPr="006A58E1">
        <w:t>pokarmowe</w:t>
      </w:r>
      <w:r>
        <w:t>, węgiel zawarty w glebie, dostępnoś</w:t>
      </w:r>
      <w:r w:rsidR="006A58E1">
        <w:t>ć wody) oraz trzy</w:t>
      </w:r>
      <w:r>
        <w:t xml:space="preserve"> </w:t>
      </w:r>
      <w:r w:rsidR="00371A8B">
        <w:t>bariery</w:t>
      </w:r>
      <w:r>
        <w:t xml:space="preserve"> (brak motywacji, brak wiedzy, brak tworzenia i wdrażania polityk), które zostały zidentyfikowane podczas pierwszego spotkania G</w:t>
      </w:r>
      <w:r w:rsidR="00794E02">
        <w:t>T</w:t>
      </w:r>
      <w:r>
        <w:t xml:space="preserve"> </w:t>
      </w:r>
      <w:r w:rsidR="00451330">
        <w:t>sp</w:t>
      </w:r>
      <w:r w:rsidR="00A81134">
        <w:t>rawiły</w:t>
      </w:r>
      <w:r w:rsidR="00451330">
        <w:t xml:space="preserve">, że zakres działań </w:t>
      </w:r>
      <w:r w:rsidR="00A81134">
        <w:t>jest</w:t>
      </w:r>
      <w:r w:rsidR="00451330">
        <w:t xml:space="preserve"> stosunkowo szeroki. Aby umożliwić właściwe zarzadzanie prowadzonymi działaniami oraz zyskać pewność, że wypracowane rozwiązania będą </w:t>
      </w:r>
      <w:r w:rsidR="003534F7" w:rsidRPr="00972790">
        <w:t xml:space="preserve">użyteczne i </w:t>
      </w:r>
      <w:r w:rsidR="00972790" w:rsidRPr="00972790">
        <w:t xml:space="preserve">konkretne, podczas drugiego spotkania TG skoncentrowano się na </w:t>
      </w:r>
      <w:r w:rsidR="00972790">
        <w:t xml:space="preserve">zidentyfikowaniu potrzeb badawczych oraz doprecyzowaniu pytań, które pomogą grupie wypracować rozwiązania </w:t>
      </w:r>
      <w:r w:rsidR="00930069">
        <w:t>umożliwiające</w:t>
      </w:r>
      <w:r w:rsidR="00972790">
        <w:t xml:space="preserve"> ocenę</w:t>
      </w:r>
      <w:r w:rsidR="00930069">
        <w:t xml:space="preserve"> postępów</w:t>
      </w:r>
      <w:r w:rsidR="00972790">
        <w:t xml:space="preserve"> </w:t>
      </w:r>
      <w:r w:rsidR="00930069">
        <w:t xml:space="preserve">planowania i wdrażania działań podejmowanych w ramach PROW, a mających na celu efektywne wykorzystanie zasobów gleby i wody w UE. Kluczowym pytaniem </w:t>
      </w:r>
      <w:r w:rsidR="00A81134">
        <w:t xml:space="preserve">postawionym przez grupę </w:t>
      </w:r>
      <w:proofErr w:type="gramStart"/>
      <w:r w:rsidR="00A81134">
        <w:t xml:space="preserve">było </w:t>
      </w:r>
      <w:r w:rsidR="00A81134" w:rsidRPr="0090011D">
        <w:rPr>
          <w:i/>
        </w:rPr>
        <w:t>„W</w:t>
      </w:r>
      <w:r w:rsidR="00A744EB">
        <w:rPr>
          <w:i/>
        </w:rPr>
        <w:t xml:space="preserve"> </w:t>
      </w:r>
      <w:r w:rsidR="00930069" w:rsidRPr="0090011D">
        <w:rPr>
          <w:i/>
        </w:rPr>
        <w:t>jaki</w:t>
      </w:r>
      <w:proofErr w:type="gramEnd"/>
      <w:r w:rsidR="00930069" w:rsidRPr="0090011D">
        <w:rPr>
          <w:i/>
        </w:rPr>
        <w:t xml:space="preserve"> sposób możemy coś dodać do tego procesu?”</w:t>
      </w:r>
    </w:p>
    <w:p w:rsidR="00930069" w:rsidRDefault="00930069" w:rsidP="00164188">
      <w:pPr>
        <w:spacing w:after="120"/>
        <w:jc w:val="both"/>
      </w:pPr>
      <w:r>
        <w:t>Aby ułatwić rozstrzygnięcie tej kwestii</w:t>
      </w:r>
      <w:r w:rsidR="006A58E1">
        <w:t>, podczas spotkania</w:t>
      </w:r>
      <w:r>
        <w:t xml:space="preserve"> czterech członków G</w:t>
      </w:r>
      <w:r w:rsidR="00794E02">
        <w:t>T</w:t>
      </w:r>
      <w:r>
        <w:t xml:space="preserve"> zaprezentowało funkcjonując</w:t>
      </w:r>
      <w:r w:rsidR="00182AB8">
        <w:t>e</w:t>
      </w:r>
      <w:r>
        <w:t xml:space="preserve"> rozwiąza</w:t>
      </w:r>
      <w:r w:rsidR="00182AB8">
        <w:t xml:space="preserve">nia </w:t>
      </w:r>
      <w:r>
        <w:t>będąc</w:t>
      </w:r>
      <w:r w:rsidR="00182AB8">
        <w:t>e</w:t>
      </w:r>
      <w:r>
        <w:t xml:space="preserve"> przykładem dobrych praktyk, które zostały wypracowane w ramach innych projekt</w:t>
      </w:r>
      <w:r w:rsidR="00866BC3">
        <w:t>ów</w:t>
      </w:r>
      <w:r>
        <w:t xml:space="preserve"> z tego samego obszaru tematycznego. </w:t>
      </w:r>
      <w:r w:rsidR="00866BC3">
        <w:t>Prezentacje były dla grupy bodźcem do myślenia o tym, jakie pytania powinny być stawiane oraz jakie informacje są wciąż potrzebne do zrozumienia jak wykorzystać to, co już zostało osiągnięte.</w:t>
      </w:r>
      <w:r w:rsidR="006A58E1">
        <w:t xml:space="preserve"> </w:t>
      </w:r>
    </w:p>
    <w:p w:rsidR="00866BC3" w:rsidRDefault="00866BC3" w:rsidP="00866BC3">
      <w:pPr>
        <w:pStyle w:val="Akapitzlist"/>
        <w:numPr>
          <w:ilvl w:val="0"/>
          <w:numId w:val="1"/>
        </w:numPr>
        <w:jc w:val="both"/>
      </w:pPr>
      <w:proofErr w:type="spellStart"/>
      <w:r w:rsidRPr="0090011D">
        <w:rPr>
          <w:b/>
        </w:rPr>
        <w:t>Kimo</w:t>
      </w:r>
      <w:proofErr w:type="spellEnd"/>
      <w:r w:rsidRPr="0090011D">
        <w:rPr>
          <w:b/>
        </w:rPr>
        <w:t xml:space="preserve"> van </w:t>
      </w:r>
      <w:proofErr w:type="spellStart"/>
      <w:r w:rsidRPr="0090011D">
        <w:rPr>
          <w:b/>
        </w:rPr>
        <w:t>Dijk</w:t>
      </w:r>
      <w:proofErr w:type="spellEnd"/>
      <w:r w:rsidRPr="0090011D">
        <w:rPr>
          <w:b/>
        </w:rPr>
        <w:t xml:space="preserve"> </w:t>
      </w:r>
      <w:r>
        <w:t>z Europejskiej Platformy Zrównoważonego Fosforu (</w:t>
      </w:r>
      <w:proofErr w:type="spellStart"/>
      <w:r>
        <w:t>E</w:t>
      </w:r>
      <w:r w:rsidR="00182AB8">
        <w:t>uropean</w:t>
      </w:r>
      <w:proofErr w:type="spellEnd"/>
      <w:r w:rsidR="00182AB8">
        <w:t xml:space="preserve"> </w:t>
      </w:r>
      <w:proofErr w:type="spellStart"/>
      <w:r w:rsidR="00182AB8">
        <w:t>Sustainable</w:t>
      </w:r>
      <w:proofErr w:type="spellEnd"/>
      <w:r w:rsidR="00182AB8">
        <w:t xml:space="preserve"> </w:t>
      </w:r>
      <w:proofErr w:type="spellStart"/>
      <w:r w:rsidR="00182AB8">
        <w:t>Phosp</w:t>
      </w:r>
      <w:r w:rsidR="00794E02">
        <w:t>h</w:t>
      </w:r>
      <w:r w:rsidR="00182AB8">
        <w:t>or</w:t>
      </w:r>
      <w:r w:rsidR="00794E02">
        <w:t>o</w:t>
      </w:r>
      <w:r w:rsidR="00182AB8">
        <w:t>us</w:t>
      </w:r>
      <w:proofErr w:type="spellEnd"/>
      <w:r w:rsidR="00182AB8">
        <w:t xml:space="preserve"> Platform</w:t>
      </w:r>
      <w:r>
        <w:t xml:space="preserve">) </w:t>
      </w:r>
      <w:r w:rsidR="00586341">
        <w:t>zaprezentował</w:t>
      </w:r>
      <w:r>
        <w:t xml:space="preserve"> </w:t>
      </w:r>
      <w:r w:rsidRPr="0090011D">
        <w:rPr>
          <w:i/>
        </w:rPr>
        <w:t xml:space="preserve">„Wykorzystanie </w:t>
      </w:r>
      <w:r w:rsidR="006A58E1" w:rsidRPr="004856F8">
        <w:rPr>
          <w:i/>
        </w:rPr>
        <w:t>składników</w:t>
      </w:r>
      <w:r w:rsidR="00D10E9F" w:rsidRPr="004856F8">
        <w:rPr>
          <w:i/>
        </w:rPr>
        <w:t xml:space="preserve"> pokarmo</w:t>
      </w:r>
      <w:r w:rsidR="006A58E1" w:rsidRPr="004856F8">
        <w:rPr>
          <w:i/>
        </w:rPr>
        <w:t>wych</w:t>
      </w:r>
      <w:r w:rsidRPr="0090011D">
        <w:rPr>
          <w:i/>
        </w:rPr>
        <w:t xml:space="preserve"> z </w:t>
      </w:r>
      <w:proofErr w:type="spellStart"/>
      <w:proofErr w:type="gramStart"/>
      <w:r w:rsidRPr="0090011D">
        <w:rPr>
          <w:i/>
        </w:rPr>
        <w:t>bio</w:t>
      </w:r>
      <w:proofErr w:type="spellEnd"/>
      <w:r w:rsidRPr="0090011D">
        <w:rPr>
          <w:i/>
        </w:rPr>
        <w:t>-odpadów</w:t>
      </w:r>
      <w:r w:rsidR="00586341" w:rsidRPr="0090011D">
        <w:rPr>
          <w:i/>
        </w:rPr>
        <w:t xml:space="preserve"> jako</w:t>
      </w:r>
      <w:proofErr w:type="gramEnd"/>
      <w:r w:rsidR="00586341" w:rsidRPr="0090011D">
        <w:rPr>
          <w:i/>
        </w:rPr>
        <w:t xml:space="preserve"> szans</w:t>
      </w:r>
      <w:r w:rsidR="006A58E1">
        <w:rPr>
          <w:i/>
        </w:rPr>
        <w:t>a</w:t>
      </w:r>
      <w:r w:rsidR="00586341" w:rsidRPr="0090011D">
        <w:rPr>
          <w:i/>
        </w:rPr>
        <w:t xml:space="preserve"> dla rozwoju ekonomicznego terenów rolniczych”.</w:t>
      </w:r>
      <w:r w:rsidR="00586341">
        <w:t xml:space="preserve"> Przedstawił kilka studiów przypadków odzyskiwania </w:t>
      </w:r>
      <w:r w:rsidR="006A58E1" w:rsidRPr="004856F8">
        <w:t>składników</w:t>
      </w:r>
      <w:r w:rsidR="00586341">
        <w:t>, m.in.</w:t>
      </w:r>
      <w:r w:rsidR="0070535C">
        <w:t xml:space="preserve"> w spółdzielni mleczarskiej</w:t>
      </w:r>
      <w:r w:rsidR="00586341">
        <w:t xml:space="preserve"> </w:t>
      </w:r>
      <w:proofErr w:type="spellStart"/>
      <w:r w:rsidR="00586341">
        <w:t>Friesland</w:t>
      </w:r>
      <w:proofErr w:type="spellEnd"/>
      <w:r w:rsidR="00586341">
        <w:t xml:space="preserve"> </w:t>
      </w:r>
      <w:proofErr w:type="spellStart"/>
      <w:r w:rsidR="00586341">
        <w:t>Campina</w:t>
      </w:r>
      <w:proofErr w:type="spellEnd"/>
      <w:r w:rsidR="00586341">
        <w:t xml:space="preserve">; </w:t>
      </w:r>
      <w:r w:rsidR="009A4145">
        <w:t xml:space="preserve">zobrazował </w:t>
      </w:r>
      <w:r w:rsidR="00586341">
        <w:t>ryzyko ponoszenia strat fosforu i innych substancji odżywczych znajdujących się w odpadach</w:t>
      </w:r>
      <w:r w:rsidR="009A4145">
        <w:t>,</w:t>
      </w:r>
      <w:r w:rsidR="00586341">
        <w:t xml:space="preserve"> w obliczu fakt</w:t>
      </w:r>
      <w:r w:rsidR="009A4145">
        <w:t>u, ż</w:t>
      </w:r>
      <w:r w:rsidR="00586341">
        <w:t xml:space="preserve">e </w:t>
      </w:r>
      <w:r w:rsidR="009A4145">
        <w:t xml:space="preserve">90% fosforu na terenie </w:t>
      </w:r>
      <w:r w:rsidR="00586341">
        <w:t xml:space="preserve">UE </w:t>
      </w:r>
      <w:r w:rsidR="009A4145">
        <w:t>pochodzi z</w:t>
      </w:r>
      <w:r w:rsidR="00586341">
        <w:t xml:space="preserve"> importu</w:t>
      </w:r>
      <w:r w:rsidR="009A4145">
        <w:t>;</w:t>
      </w:r>
      <w:r w:rsidR="00586341">
        <w:t xml:space="preserve"> </w:t>
      </w:r>
      <w:r w:rsidR="009A4145">
        <w:t xml:space="preserve">przedstawił szanse i efekt synergii płynące ze zwiększenia odzysku </w:t>
      </w:r>
      <w:r w:rsidR="00D10E9F" w:rsidRPr="004856F8">
        <w:t>składników pokarmowych</w:t>
      </w:r>
      <w:r w:rsidR="009A4145">
        <w:t xml:space="preserve"> oraz ich ponownego wykorzystania, w tym konkretne przykłady różnych produktów </w:t>
      </w:r>
      <w:r w:rsidR="0070535C">
        <w:t xml:space="preserve">wytworzonych w odpowiedzi na potrzeby i wymagania konkretnych użytkowników </w:t>
      </w:r>
      <w:r w:rsidR="009A4145">
        <w:t xml:space="preserve">w wyniku recyklingu </w:t>
      </w:r>
      <w:r w:rsidR="00D10E9F" w:rsidRPr="004856F8">
        <w:t>składników pokarmowych</w:t>
      </w:r>
      <w:r w:rsidR="009A4145">
        <w:t xml:space="preserve">.  </w:t>
      </w:r>
    </w:p>
    <w:p w:rsidR="00415187" w:rsidRDefault="00415187" w:rsidP="00415187">
      <w:pPr>
        <w:pStyle w:val="Akapitzlist"/>
        <w:numPr>
          <w:ilvl w:val="0"/>
          <w:numId w:val="1"/>
        </w:numPr>
        <w:jc w:val="both"/>
      </w:pPr>
      <w:proofErr w:type="spellStart"/>
      <w:r w:rsidRPr="0090011D">
        <w:rPr>
          <w:b/>
        </w:rPr>
        <w:t>Elisabet</w:t>
      </w:r>
      <w:proofErr w:type="spellEnd"/>
      <w:r w:rsidRPr="0090011D">
        <w:rPr>
          <w:b/>
        </w:rPr>
        <w:t xml:space="preserve"> </w:t>
      </w:r>
      <w:proofErr w:type="spellStart"/>
      <w:r w:rsidRPr="0090011D">
        <w:rPr>
          <w:b/>
        </w:rPr>
        <w:t>Nadeu</w:t>
      </w:r>
      <w:proofErr w:type="spellEnd"/>
      <w:r>
        <w:t xml:space="preserve"> z fundacji RISE </w:t>
      </w:r>
      <w:r w:rsidR="00794E02">
        <w:t xml:space="preserve">(Rural </w:t>
      </w:r>
      <w:r w:rsidR="00794E02" w:rsidRPr="00120169">
        <w:rPr>
          <w:lang w:val="en-GB"/>
        </w:rPr>
        <w:t>Investment Support</w:t>
      </w:r>
      <w:r w:rsidR="00794E02">
        <w:t xml:space="preserve"> for Europe) z Brukseli </w:t>
      </w:r>
      <w:r w:rsidR="00A744EB">
        <w:t>o</w:t>
      </w:r>
      <w:r>
        <w:t>mówił</w:t>
      </w:r>
      <w:r w:rsidR="006A58E1">
        <w:t>a</w:t>
      </w:r>
      <w:r>
        <w:t xml:space="preserve"> wynik</w:t>
      </w:r>
      <w:r w:rsidR="00A744EB">
        <w:t>i</w:t>
      </w:r>
      <w:r>
        <w:t xml:space="preserve"> studium „Odzyskiwanie i ponowne wykorzystanie </w:t>
      </w:r>
      <w:r w:rsidR="00D10E9F" w:rsidRPr="004856F8">
        <w:t>składników pokarmowych</w:t>
      </w:r>
      <w:r>
        <w:t xml:space="preserve"> w rolnictwie”. Wykonany przez RISE raport zawierał prób</w:t>
      </w:r>
      <w:r w:rsidR="0070535C">
        <w:t>ę</w:t>
      </w:r>
      <w:r>
        <w:t xml:space="preserve"> odpowiedzi na </w:t>
      </w:r>
      <w:proofErr w:type="gramStart"/>
      <w:r>
        <w:t>pytania: Jaka</w:t>
      </w:r>
      <w:proofErr w:type="gramEnd"/>
      <w:r>
        <w:t xml:space="preserve"> jest potencjalna skala odzyskiwania i ponownego wykorzystania N i P w UE? Jakie wyzwania należy </w:t>
      </w:r>
      <w:proofErr w:type="gramStart"/>
      <w:r>
        <w:t>pokonać aby</w:t>
      </w:r>
      <w:proofErr w:type="gramEnd"/>
      <w:r>
        <w:t xml:space="preserve"> to osiągnąć? Jakie działania powinny zostać podjęte w celu stymulowania zwiększenia odzyskiwania i ponownego wykorzystania </w:t>
      </w:r>
      <w:r w:rsidRPr="004856F8">
        <w:t xml:space="preserve">składników </w:t>
      </w:r>
      <w:r w:rsidR="00D7284E" w:rsidRPr="004856F8">
        <w:t>pokarmowych</w:t>
      </w:r>
      <w:r w:rsidRPr="004856F8">
        <w:t xml:space="preserve"> </w:t>
      </w:r>
      <w:r>
        <w:t>w Europie</w:t>
      </w:r>
      <w:r w:rsidR="004A3202">
        <w:t>? Konkluzj</w:t>
      </w:r>
      <w:r w:rsidR="007A5105">
        <w:t>ą</w:t>
      </w:r>
      <w:r w:rsidR="004A3202">
        <w:t xml:space="preserve"> płynąc</w:t>
      </w:r>
      <w:r w:rsidR="007A5105">
        <w:t>ą</w:t>
      </w:r>
      <w:r w:rsidR="004A3202">
        <w:t xml:space="preserve"> z raportu jest stwierdzeni</w:t>
      </w:r>
      <w:r w:rsidR="007A5105">
        <w:t>e</w:t>
      </w:r>
      <w:r w:rsidR="004A3202">
        <w:t xml:space="preserve">, </w:t>
      </w:r>
      <w:r w:rsidR="007A5105">
        <w:t>ż</w:t>
      </w:r>
      <w:r w:rsidR="004A3202">
        <w:t>e badania i rozwój w tej dziedzinie s</w:t>
      </w:r>
      <w:r w:rsidR="007A5105">
        <w:t>ą</w:t>
      </w:r>
      <w:r w:rsidR="004A3202">
        <w:t xml:space="preserve"> </w:t>
      </w:r>
      <w:r w:rsidR="0070535C">
        <w:t>bardzo</w:t>
      </w:r>
      <w:r w:rsidR="007A5105">
        <w:t xml:space="preserve"> potrzebne, jednakże do </w:t>
      </w:r>
      <w:r w:rsidR="0070535C">
        <w:t>prowadzenia</w:t>
      </w:r>
      <w:r w:rsidR="007A5105">
        <w:t xml:space="preserve"> działań na szerszą skale w tym obszarze niezbędne są zarówno jasno wyznaczone cele i system zachęt dla osób stosujących dobre praktyki jak i restrykcje oraz kary w celu ograniczenia złych praktyk.</w:t>
      </w:r>
    </w:p>
    <w:p w:rsidR="007A5105" w:rsidRPr="00B80AAA" w:rsidRDefault="007A5105" w:rsidP="00B80AAA">
      <w:pPr>
        <w:pStyle w:val="Akapitzlist"/>
        <w:numPr>
          <w:ilvl w:val="0"/>
          <w:numId w:val="1"/>
        </w:numPr>
        <w:jc w:val="both"/>
        <w:rPr>
          <w:rStyle w:val="Hipercze"/>
        </w:rPr>
      </w:pPr>
      <w:r w:rsidRPr="0090011D">
        <w:rPr>
          <w:b/>
        </w:rPr>
        <w:t>Wojciech Frątczak</w:t>
      </w:r>
      <w:r>
        <w:t xml:space="preserve"> </w:t>
      </w:r>
      <w:r w:rsidRPr="007A5105">
        <w:t>z Regionalnego Zarządu Gospodarki Wodnej w Warszawie</w:t>
      </w:r>
      <w:r w:rsidR="004856F8">
        <w:t xml:space="preserve"> (Polska) zaprezentował projekt</w:t>
      </w:r>
      <w:r>
        <w:t xml:space="preserve"> </w:t>
      </w:r>
      <w:r w:rsidRPr="0090011D">
        <w:rPr>
          <w:i/>
        </w:rPr>
        <w:t>„ EKOROB - Ekotony dla redukcji zanieczyszczeń obszarowych”</w:t>
      </w:r>
      <w:r>
        <w:t xml:space="preserve"> zrealizowanym w ramach programu LIF</w:t>
      </w:r>
      <w:r w:rsidR="002F4229">
        <w:t>E</w:t>
      </w:r>
      <w:r>
        <w:t>+</w:t>
      </w:r>
      <w:r w:rsidR="002F4229">
        <w:t>. Projekt był ukierunkowany na rozwiązanie</w:t>
      </w:r>
      <w:r w:rsidR="004856F8">
        <w:t xml:space="preserve"> </w:t>
      </w:r>
      <w:r w:rsidR="004856F8">
        <w:lastRenderedPageBreak/>
        <w:t>problemów zanieczyszczeń obszarowych</w:t>
      </w:r>
      <w:r w:rsidR="002F4229">
        <w:t xml:space="preserve"> w zlewni rzeki Pilicy w Polsce i badał m.in. źródła zanieczyszczeń (głównie spływ </w:t>
      </w:r>
      <w:r w:rsidR="00D7284E" w:rsidRPr="004856F8">
        <w:t>składników pokarmowych</w:t>
      </w:r>
      <w:r w:rsidR="002F4229">
        <w:t>) oraz ich wpływ na eutrofizację. Plan działań opracowany w celu rozwiązania problemu obejmował zmniejszenie odziaływania na wod</w:t>
      </w:r>
      <w:r w:rsidR="004856F8">
        <w:t>ę z obszarów gruntów ornych oraz obszarów zurbanizowanych</w:t>
      </w:r>
      <w:r w:rsidR="002F4229">
        <w:t xml:space="preserve">, </w:t>
      </w:r>
      <w:proofErr w:type="gramStart"/>
      <w:r w:rsidR="002F4229">
        <w:t>poprawę jakości</w:t>
      </w:r>
      <w:proofErr w:type="gramEnd"/>
      <w:r w:rsidR="002F4229">
        <w:t xml:space="preserve"> stosowanych praktyk rolniczych, </w:t>
      </w:r>
      <w:r w:rsidR="004856F8">
        <w:t xml:space="preserve">oraz </w:t>
      </w:r>
      <w:r w:rsidR="002F4229">
        <w:t xml:space="preserve">ograniczenie spływu </w:t>
      </w:r>
      <w:r w:rsidR="00D7284E" w:rsidRPr="004856F8">
        <w:t>składników pokarmowych</w:t>
      </w:r>
      <w:r w:rsidR="00D7284E">
        <w:t xml:space="preserve"> </w:t>
      </w:r>
      <w:r w:rsidR="002F4229">
        <w:t>do wód poprzez zastosowanie rozwiązań ekohydrologicznych (np. strefy buforowe</w:t>
      </w:r>
      <w:r w:rsidR="00A05D53">
        <w:t xml:space="preserve">, </w:t>
      </w:r>
      <w:r w:rsidR="0069743B">
        <w:t>sekwencyjne</w:t>
      </w:r>
      <w:r w:rsidR="004856F8">
        <w:t xml:space="preserve"> systemy </w:t>
      </w:r>
      <w:proofErr w:type="spellStart"/>
      <w:r w:rsidR="004856F8">
        <w:t>biofiltrujące</w:t>
      </w:r>
      <w:proofErr w:type="spellEnd"/>
      <w:r w:rsidR="002F4229">
        <w:t xml:space="preserve">). Jako istotny czynnik uznano również </w:t>
      </w:r>
      <w:r w:rsidR="00115FB0" w:rsidRPr="00115FB0">
        <w:t xml:space="preserve">podniesienie świadomości ekologicznej społeczności </w:t>
      </w:r>
      <w:proofErr w:type="gramStart"/>
      <w:r w:rsidR="00115FB0" w:rsidRPr="00115FB0">
        <w:t>lokalne</w:t>
      </w:r>
      <w:r w:rsidR="0070535C">
        <w:t>j</w:t>
      </w:r>
      <w:r w:rsidR="00115FB0">
        <w:t xml:space="preserve">. </w:t>
      </w:r>
      <w:proofErr w:type="gramEnd"/>
      <w:r w:rsidR="00115FB0">
        <w:t>W tym celu organizowane były warsztaty, szkolenia oraz zajęcia edukacyjne dla szerokiego grona odbiorców.</w:t>
      </w:r>
      <w:r w:rsidR="00A05D53">
        <w:t xml:space="preserve"> Więcej informacji o projekcie znajduje się na stronie projektu </w:t>
      </w:r>
      <w:hyperlink r:id="rId6" w:history="1">
        <w:r w:rsidR="00A05D53" w:rsidRPr="003E40C8">
          <w:rPr>
            <w:rStyle w:val="Hipercze"/>
          </w:rPr>
          <w:t>www.ekorob.pl</w:t>
        </w:r>
      </w:hyperlink>
      <w:r w:rsidR="00A05D53">
        <w:t xml:space="preserve"> oraz </w:t>
      </w:r>
      <w:r w:rsidR="00B80AAA">
        <w:t xml:space="preserve">w </w:t>
      </w:r>
      <w:r w:rsidR="00182AB8">
        <w:t xml:space="preserve">RAPORCIE LAIKA </w:t>
      </w:r>
      <w:r w:rsidR="00182AB8" w:rsidRPr="00182AB8">
        <w:rPr>
          <w:i/>
        </w:rPr>
        <w:t>LAYMANS’ REPORT</w:t>
      </w:r>
      <w:r w:rsidR="00B80AAA">
        <w:t xml:space="preserve"> </w:t>
      </w:r>
      <w:r w:rsidR="00B80AAA" w:rsidRPr="00B80AAA">
        <w:rPr>
          <w:rStyle w:val="Hipercze"/>
        </w:rPr>
        <w:t>http</w:t>
      </w:r>
      <w:proofErr w:type="gramStart"/>
      <w:r w:rsidR="00B80AAA" w:rsidRPr="00B80AAA">
        <w:rPr>
          <w:rStyle w:val="Hipercze"/>
        </w:rPr>
        <w:t>://www</w:t>
      </w:r>
      <w:proofErr w:type="gramEnd"/>
      <w:r w:rsidR="00B80AAA" w:rsidRPr="00B80AAA">
        <w:rPr>
          <w:rStyle w:val="Hipercze"/>
        </w:rPr>
        <w:t>.</w:t>
      </w:r>
      <w:proofErr w:type="gramStart"/>
      <w:r w:rsidR="00B80AAA" w:rsidRPr="00B80AAA">
        <w:rPr>
          <w:rStyle w:val="Hipercze"/>
        </w:rPr>
        <w:t>ekorob</w:t>
      </w:r>
      <w:proofErr w:type="gramEnd"/>
      <w:r w:rsidR="00B80AAA" w:rsidRPr="00B80AAA">
        <w:rPr>
          <w:rStyle w:val="Hipercze"/>
        </w:rPr>
        <w:t>.</w:t>
      </w:r>
      <w:proofErr w:type="gramStart"/>
      <w:r w:rsidR="00B80AAA" w:rsidRPr="00B80AAA">
        <w:rPr>
          <w:rStyle w:val="Hipercze"/>
        </w:rPr>
        <w:t>pl</w:t>
      </w:r>
      <w:proofErr w:type="gramEnd"/>
      <w:r w:rsidR="00B80AAA" w:rsidRPr="00B80AAA">
        <w:rPr>
          <w:rStyle w:val="Hipercze"/>
        </w:rPr>
        <w:t>/userfiles/file/EKOROB_Lymans%20Report_FINAL_www__pdf.</w:t>
      </w:r>
      <w:proofErr w:type="gramStart"/>
      <w:r w:rsidR="00B80AAA" w:rsidRPr="00B80AAA">
        <w:rPr>
          <w:rStyle w:val="Hipercze"/>
        </w:rPr>
        <w:t>pdf</w:t>
      </w:r>
      <w:proofErr w:type="gramEnd"/>
    </w:p>
    <w:p w:rsidR="009E2829" w:rsidRDefault="009E2829" w:rsidP="009E2829">
      <w:pPr>
        <w:pStyle w:val="Akapitzlist"/>
        <w:numPr>
          <w:ilvl w:val="0"/>
          <w:numId w:val="1"/>
        </w:numPr>
        <w:jc w:val="both"/>
      </w:pPr>
      <w:r w:rsidRPr="0090011D">
        <w:rPr>
          <w:b/>
        </w:rPr>
        <w:t>Maria Valentina Lasorella</w:t>
      </w:r>
      <w:r>
        <w:t xml:space="preserve"> z Rady Badań Rolniczych i </w:t>
      </w:r>
      <w:r w:rsidR="00371A8B">
        <w:t>A</w:t>
      </w:r>
      <w:r>
        <w:t>naliz Ekonomicznych Rolnictwa (</w:t>
      </w:r>
      <w:proofErr w:type="spellStart"/>
      <w:r>
        <w:t>C</w:t>
      </w:r>
      <w:r w:rsidR="00794E02">
        <w:t>ouncil</w:t>
      </w:r>
      <w:proofErr w:type="spellEnd"/>
      <w:r w:rsidR="00794E02">
        <w:t xml:space="preserve"> for </w:t>
      </w:r>
      <w:proofErr w:type="spellStart"/>
      <w:r w:rsidR="00794E02">
        <w:t>Agricultural</w:t>
      </w:r>
      <w:proofErr w:type="spellEnd"/>
      <w:r w:rsidR="00794E02">
        <w:t xml:space="preserve"> </w:t>
      </w:r>
      <w:proofErr w:type="spellStart"/>
      <w:r w:rsidR="00794E02">
        <w:t>Research</w:t>
      </w:r>
      <w:proofErr w:type="spellEnd"/>
      <w:r w:rsidR="00794E02">
        <w:t xml:space="preserve"> and </w:t>
      </w:r>
      <w:proofErr w:type="spellStart"/>
      <w:r w:rsidR="00794E02">
        <w:t>Agricultural</w:t>
      </w:r>
      <w:proofErr w:type="spellEnd"/>
      <w:r w:rsidR="00794E02">
        <w:t xml:space="preserve"> </w:t>
      </w:r>
      <w:proofErr w:type="spellStart"/>
      <w:r w:rsidR="00794E02">
        <w:t>Economy</w:t>
      </w:r>
      <w:proofErr w:type="spellEnd"/>
      <w:r w:rsidR="00794E02">
        <w:t xml:space="preserve"> Analysis</w:t>
      </w:r>
      <w:r>
        <w:t xml:space="preserve">) we Włoszech prezentowała projekt PACA </w:t>
      </w:r>
      <w:r w:rsidRPr="0090011D">
        <w:rPr>
          <w:i/>
        </w:rPr>
        <w:t>"Działania wspierające priorytety rolno-środowiskowo-klimatyczne w ramach PROW”</w:t>
      </w:r>
      <w:r w:rsidRPr="009E2829">
        <w:t>.</w:t>
      </w:r>
      <w:r>
        <w:t xml:space="preserve"> PACA</w:t>
      </w:r>
      <w:r w:rsidR="00524DA3">
        <w:t xml:space="preserve"> </w:t>
      </w:r>
      <w:r w:rsidR="00CC7F4B">
        <w:t>jest projektem</w:t>
      </w:r>
      <w:r w:rsidR="00524DA3">
        <w:t xml:space="preserve"> realizowanym w latach 2016-2018 przez Włoską Sieć Obszarów </w:t>
      </w:r>
      <w:r w:rsidR="00371A8B">
        <w:t>W</w:t>
      </w:r>
      <w:r w:rsidR="00524DA3">
        <w:t>iejskich przy wsparciu Ministerstwa Rolnictwa i Leśnictwa. Jego celem jest wsparcie regionów we Włoszech oraz innych podmiotów lokalnych w efektywny</w:t>
      </w:r>
      <w:r w:rsidR="00371A8B">
        <w:t>m</w:t>
      </w:r>
      <w:r w:rsidR="00524DA3">
        <w:t xml:space="preserve"> i skutecznym wykorzystaniu środków z Europejskiego Funduszu Rolnego na Rzecz Rozwoju Obszarów Wiejskich przydzielanych w ramach Priorytetów 4 i 5 PROW. Wsparciem objęte zostały trzy główne obszary działań: Analiza 21 regionalnych PROW, gromadzenie danych oraz analiza regionalnych strategii związanych z działaniami na rzecz </w:t>
      </w:r>
      <w:proofErr w:type="spellStart"/>
      <w:r w:rsidR="00822925">
        <w:t>agro</w:t>
      </w:r>
      <w:proofErr w:type="spellEnd"/>
      <w:r w:rsidR="00822925">
        <w:t xml:space="preserve">-środowiska oraz klimatu; Wymiana doświadczeń </w:t>
      </w:r>
      <w:r w:rsidR="00A744EB">
        <w:t>i</w:t>
      </w:r>
      <w:r w:rsidR="00822925">
        <w:t xml:space="preserve"> dzielenie się dobrymi praktykami na krajowy</w:t>
      </w:r>
      <w:r w:rsidR="00371A8B">
        <w:t>m</w:t>
      </w:r>
      <w:r w:rsidR="00822925">
        <w:t xml:space="preserve">, regionalnym i lokalnym poziomie w ramach </w:t>
      </w:r>
      <w:r w:rsidR="00B86F25">
        <w:t xml:space="preserve">AEC; </w:t>
      </w:r>
      <w:r w:rsidR="00A744EB">
        <w:t xml:space="preserve">oraz </w:t>
      </w:r>
      <w:r w:rsidR="00B86F25">
        <w:t>Koordynacja instytucjonalna różnych polityk AEC.</w:t>
      </w:r>
    </w:p>
    <w:p w:rsidR="00B86F25" w:rsidRDefault="00B86F25" w:rsidP="00B86F25">
      <w:pPr>
        <w:jc w:val="both"/>
      </w:pPr>
      <w:r>
        <w:t xml:space="preserve">Prezentacje ze spotkania są dostępne na stronie internetowej punktu kontaktowego ENRD: </w:t>
      </w:r>
      <w:hyperlink r:id="rId7" w:history="1">
        <w:r w:rsidRPr="006824E1">
          <w:rPr>
            <w:rStyle w:val="Hipercze"/>
          </w:rPr>
          <w:t>https://enrd.ec.europa.eu/news-events/events/2nd-meeting-thematic-group-‘resource-efficient-ruraleconomy’_en</w:t>
        </w:r>
      </w:hyperlink>
    </w:p>
    <w:p w:rsidR="00A05D53" w:rsidRPr="00B8061E" w:rsidRDefault="00A05D53" w:rsidP="0090011D">
      <w:pPr>
        <w:jc w:val="both"/>
        <w:rPr>
          <w:b/>
        </w:rPr>
      </w:pPr>
    </w:p>
    <w:p w:rsidR="00415187" w:rsidRPr="00A05D53" w:rsidRDefault="00B86F25" w:rsidP="0090011D">
      <w:pPr>
        <w:jc w:val="both"/>
        <w:rPr>
          <w:b/>
          <w:i/>
          <w:sz w:val="26"/>
          <w:szCs w:val="26"/>
        </w:rPr>
      </w:pPr>
      <w:r w:rsidRPr="00A05D53">
        <w:rPr>
          <w:b/>
          <w:i/>
          <w:sz w:val="26"/>
          <w:szCs w:val="26"/>
        </w:rPr>
        <w:t>Szeroko pojęte wyzwania</w:t>
      </w:r>
    </w:p>
    <w:p w:rsidR="00B86F25" w:rsidRDefault="00B86F25" w:rsidP="0078194E">
      <w:pPr>
        <w:spacing w:after="120"/>
        <w:jc w:val="both"/>
      </w:pPr>
      <w:r>
        <w:t xml:space="preserve">Po prezentacjach </w:t>
      </w:r>
      <w:r w:rsidR="00794E02">
        <w:t>w</w:t>
      </w:r>
      <w:r>
        <w:t xml:space="preserve"> szczególności </w:t>
      </w:r>
      <w:proofErr w:type="gramStart"/>
      <w:r>
        <w:t>rozważano w jaki</w:t>
      </w:r>
      <w:proofErr w:type="gramEnd"/>
      <w:r>
        <w:t xml:space="preserve"> sposób </w:t>
      </w:r>
      <w:r w:rsidR="00263A00">
        <w:t xml:space="preserve">działania mogą przyczynić się do zredukowania trzech </w:t>
      </w:r>
      <w:r w:rsidR="00371A8B">
        <w:t>barier</w:t>
      </w:r>
      <w:r w:rsidR="00263A00">
        <w:t xml:space="preserve"> zidentyfikowanych na poprzednim spotkaniu:</w:t>
      </w:r>
    </w:p>
    <w:p w:rsidR="00263A00" w:rsidRDefault="00263A00" w:rsidP="00263A00">
      <w:pPr>
        <w:pStyle w:val="Akapitzlist"/>
        <w:numPr>
          <w:ilvl w:val="0"/>
          <w:numId w:val="2"/>
        </w:numPr>
        <w:jc w:val="both"/>
      </w:pPr>
      <w:r>
        <w:t xml:space="preserve">brak </w:t>
      </w:r>
      <w:proofErr w:type="gramStart"/>
      <w:r>
        <w:t xml:space="preserve">motywacji: </w:t>
      </w:r>
      <w:r w:rsidR="00371A8B">
        <w:t>C</w:t>
      </w:r>
      <w:r>
        <w:t>o</w:t>
      </w:r>
      <w:proofErr w:type="gramEnd"/>
      <w:r>
        <w:t xml:space="preserve"> jeszcze można zrobić w celu efektywnego wykorzystania zasobów znajdujących się </w:t>
      </w:r>
      <w:r w:rsidR="00371A8B">
        <w:t>w</w:t>
      </w:r>
      <w:r>
        <w:t xml:space="preserve"> gruncie</w:t>
      </w:r>
      <w:r w:rsidR="00371A8B">
        <w:t>?</w:t>
      </w:r>
      <w:r>
        <w:t>;</w:t>
      </w:r>
    </w:p>
    <w:p w:rsidR="00263A00" w:rsidRDefault="00371A8B" w:rsidP="00263A00">
      <w:pPr>
        <w:pStyle w:val="Akapitzlist"/>
        <w:numPr>
          <w:ilvl w:val="0"/>
          <w:numId w:val="2"/>
        </w:numPr>
        <w:jc w:val="both"/>
      </w:pPr>
      <w:r>
        <w:t>brak wiedzy: C</w:t>
      </w:r>
      <w:r w:rsidR="00263A00">
        <w:t xml:space="preserve">zy interesariusze mają </w:t>
      </w:r>
      <w:r>
        <w:t xml:space="preserve">dostęp </w:t>
      </w:r>
      <w:r w:rsidR="00263A00">
        <w:t>do i</w:t>
      </w:r>
      <w:r>
        <w:t xml:space="preserve">nformacji </w:t>
      </w:r>
      <w:proofErr w:type="gramStart"/>
      <w:r>
        <w:t>nt. co</w:t>
      </w:r>
      <w:proofErr w:type="gramEnd"/>
      <w:r>
        <w:t xml:space="preserve"> powinno/musi zostać</w:t>
      </w:r>
      <w:r w:rsidR="00263A00">
        <w:t xml:space="preserve"> zrobione aby poprawić efektywność wykorzystania zasobów oraz jaki wpływ będą miały </w:t>
      </w:r>
      <w:proofErr w:type="gramStart"/>
      <w:r w:rsidR="00263A00">
        <w:t>podjęte</w:t>
      </w:r>
      <w:proofErr w:type="gramEnd"/>
      <w:r w:rsidR="00263A00">
        <w:t xml:space="preserve"> działania</w:t>
      </w:r>
      <w:r>
        <w:t>?</w:t>
      </w:r>
      <w:r w:rsidR="00263A00">
        <w:t xml:space="preserve">; </w:t>
      </w:r>
      <w:proofErr w:type="gramStart"/>
      <w:r w:rsidR="00263A00">
        <w:t>czy</w:t>
      </w:r>
      <w:proofErr w:type="gramEnd"/>
      <w:r w:rsidR="00263A00">
        <w:t xml:space="preserve"> informacje te są przekazywane w sposób zrozumiały dla zainteresowanych</w:t>
      </w:r>
      <w:r>
        <w:t>?;</w:t>
      </w:r>
    </w:p>
    <w:p w:rsidR="00263A00" w:rsidRDefault="00263A00" w:rsidP="00263A00">
      <w:pPr>
        <w:pStyle w:val="Akapitzlist"/>
        <w:numPr>
          <w:ilvl w:val="0"/>
          <w:numId w:val="2"/>
        </w:numPr>
        <w:jc w:val="both"/>
      </w:pPr>
      <w:proofErr w:type="gramStart"/>
      <w:r>
        <w:t>brak</w:t>
      </w:r>
      <w:proofErr w:type="gramEnd"/>
      <w:r>
        <w:t xml:space="preserve"> polityk: </w:t>
      </w:r>
      <w:r w:rsidR="00371A8B">
        <w:t>W</w:t>
      </w:r>
      <w:r w:rsidR="00605CA0">
        <w:t>ykorzystanie synergii pomiędzy różnymi politykami o podobnych celach</w:t>
      </w:r>
      <w:r w:rsidR="00371A8B">
        <w:t>.</w:t>
      </w:r>
    </w:p>
    <w:p w:rsidR="00B86F25" w:rsidRDefault="00B86F25" w:rsidP="00B86F25">
      <w:pPr>
        <w:jc w:val="both"/>
      </w:pPr>
    </w:p>
    <w:p w:rsidR="00605CA0" w:rsidRPr="00A05D53" w:rsidRDefault="00605CA0" w:rsidP="00A05D53">
      <w:pPr>
        <w:rPr>
          <w:b/>
          <w:i/>
          <w:sz w:val="26"/>
          <w:szCs w:val="26"/>
        </w:rPr>
      </w:pPr>
      <w:r w:rsidRPr="00A05D53">
        <w:rPr>
          <w:b/>
          <w:i/>
          <w:sz w:val="26"/>
          <w:szCs w:val="26"/>
        </w:rPr>
        <w:t>Osiągnięte wyniki</w:t>
      </w:r>
    </w:p>
    <w:p w:rsidR="00605CA0" w:rsidRDefault="00605CA0" w:rsidP="0078194E">
      <w:pPr>
        <w:spacing w:after="120"/>
        <w:jc w:val="both"/>
      </w:pPr>
      <w:r>
        <w:t>Grupa tematyczna zasugerowała, że najlepszym rozwiązaniem problemów poruszonych powyżej będzie:</w:t>
      </w:r>
    </w:p>
    <w:p w:rsidR="00605CA0" w:rsidRDefault="00605CA0" w:rsidP="00A05D53">
      <w:pPr>
        <w:pStyle w:val="Akapitzlist"/>
        <w:numPr>
          <w:ilvl w:val="0"/>
          <w:numId w:val="5"/>
        </w:numPr>
        <w:jc w:val="both"/>
      </w:pPr>
      <w:proofErr w:type="gramStart"/>
      <w:r>
        <w:t>szczegółowa</w:t>
      </w:r>
      <w:proofErr w:type="gramEnd"/>
      <w:r>
        <w:t xml:space="preserve"> analizowanie propozycji zapisów PROW</w:t>
      </w:r>
      <w:r w:rsidR="00A05D53">
        <w:t>;</w:t>
      </w:r>
    </w:p>
    <w:p w:rsidR="00605CA0" w:rsidRDefault="00A05D53" w:rsidP="00605CA0">
      <w:pPr>
        <w:pStyle w:val="Akapitzlist"/>
        <w:numPr>
          <w:ilvl w:val="0"/>
          <w:numId w:val="5"/>
        </w:numPr>
        <w:jc w:val="both"/>
      </w:pPr>
      <w:proofErr w:type="gramStart"/>
      <w:r>
        <w:t>bardziej</w:t>
      </w:r>
      <w:proofErr w:type="gramEnd"/>
      <w:r>
        <w:t xml:space="preserve"> szczegółowa analiza</w:t>
      </w:r>
      <w:r w:rsidR="00605CA0">
        <w:t xml:space="preserve"> implementacji PROW do polityk obejmujących inne obszary tematyczne</w:t>
      </w:r>
      <w:r>
        <w:t>;</w:t>
      </w:r>
    </w:p>
    <w:p w:rsidR="00605CA0" w:rsidRDefault="00605CA0" w:rsidP="00605CA0">
      <w:pPr>
        <w:pStyle w:val="Akapitzlist"/>
        <w:numPr>
          <w:ilvl w:val="0"/>
          <w:numId w:val="5"/>
        </w:numPr>
        <w:jc w:val="both"/>
      </w:pPr>
      <w:proofErr w:type="gramStart"/>
      <w:r>
        <w:lastRenderedPageBreak/>
        <w:t>gromadzenie</w:t>
      </w:r>
      <w:proofErr w:type="gramEnd"/>
      <w:r>
        <w:t xml:space="preserve"> przykładów dobrych praktyk.</w:t>
      </w:r>
    </w:p>
    <w:p w:rsidR="00605CA0" w:rsidRDefault="00605CA0" w:rsidP="00605CA0">
      <w:pPr>
        <w:jc w:val="both"/>
      </w:pPr>
      <w:r>
        <w:t>Z dyskusji jasno wynikało,</w:t>
      </w:r>
      <w:r w:rsidR="00794E02">
        <w:t xml:space="preserve"> że </w:t>
      </w:r>
      <w:r w:rsidR="0044627B">
        <w:t>G</w:t>
      </w:r>
      <w:r w:rsidR="00794E02">
        <w:t>T</w:t>
      </w:r>
      <w:r w:rsidR="0044627B">
        <w:t xml:space="preserve"> nie powin</w:t>
      </w:r>
      <w:r>
        <w:t>n</w:t>
      </w:r>
      <w:r w:rsidR="0044627B">
        <w:t>a</w:t>
      </w:r>
      <w:r>
        <w:t xml:space="preserve"> zaczynać od zera, </w:t>
      </w:r>
      <w:r w:rsidR="0044627B">
        <w:t>ale</w:t>
      </w:r>
      <w:r>
        <w:t xml:space="preserve"> pierwszym krokiem we wszystkich działaniach grupy </w:t>
      </w:r>
      <w:r w:rsidR="0044627B">
        <w:t>powinna być</w:t>
      </w:r>
      <w:r>
        <w:t xml:space="preserve"> </w:t>
      </w:r>
      <w:r w:rsidR="0044627B">
        <w:t xml:space="preserve">analiza </w:t>
      </w:r>
      <w:r w:rsidR="006215BB">
        <w:t xml:space="preserve">działań i </w:t>
      </w:r>
      <w:proofErr w:type="gramStart"/>
      <w:r w:rsidR="006215BB">
        <w:t>rozwiązań jakie</w:t>
      </w:r>
      <w:proofErr w:type="gramEnd"/>
      <w:r w:rsidR="006215BB">
        <w:t xml:space="preserve"> już</w:t>
      </w:r>
      <w:r w:rsidR="0044627B">
        <w:t xml:space="preserve"> </w:t>
      </w:r>
      <w:r w:rsidR="006215BB">
        <w:t>zostały wykonane i oparcie na nich dalszych działań</w:t>
      </w:r>
      <w:r>
        <w:t xml:space="preserve">. </w:t>
      </w:r>
      <w:r w:rsidR="0044627B">
        <w:t>Przykładem mogą być</w:t>
      </w:r>
      <w:r>
        <w:t xml:space="preserve"> zasoby </w:t>
      </w:r>
      <w:r w:rsidR="0044627B" w:rsidRPr="0044627B">
        <w:t>Generaln</w:t>
      </w:r>
      <w:r w:rsidR="00371A8B">
        <w:t>ej</w:t>
      </w:r>
      <w:r w:rsidR="0044627B" w:rsidRPr="0044627B">
        <w:t xml:space="preserve"> Dyrekcj</w:t>
      </w:r>
      <w:r w:rsidR="00371A8B">
        <w:t xml:space="preserve">i </w:t>
      </w:r>
      <w:r w:rsidR="0044627B" w:rsidRPr="0044627B">
        <w:t>Ochrony Środowiska</w:t>
      </w:r>
      <w:r w:rsidR="0044627B">
        <w:t xml:space="preserve"> </w:t>
      </w:r>
      <w:r>
        <w:t xml:space="preserve">Wiki </w:t>
      </w:r>
      <w:r w:rsidR="0044627B">
        <w:t>obejmujące działania oraz</w:t>
      </w:r>
      <w:r>
        <w:t xml:space="preserve"> polityki </w:t>
      </w:r>
      <w:r w:rsidR="0044627B">
        <w:t xml:space="preserve">związane z wykorzystaniem gleby </w:t>
      </w:r>
      <w:r>
        <w:t xml:space="preserve">w państwach członkowskich UE. Ponadto, </w:t>
      </w:r>
      <w:r w:rsidR="0044627B">
        <w:t>dyskusja wykazała, że analiza</w:t>
      </w:r>
      <w:r>
        <w:t xml:space="preserve"> wszystkich PROW na podstawie istniejąc</w:t>
      </w:r>
      <w:r w:rsidR="0044627B">
        <w:t>ych bad</w:t>
      </w:r>
      <w:r w:rsidR="00371A8B">
        <w:t>a</w:t>
      </w:r>
      <w:r w:rsidR="0044627B">
        <w:t xml:space="preserve">ń i </w:t>
      </w:r>
      <w:r>
        <w:t>literatury był</w:t>
      </w:r>
      <w:r w:rsidR="00371A8B">
        <w:t>a</w:t>
      </w:r>
      <w:r>
        <w:t>by użyteczn</w:t>
      </w:r>
      <w:r w:rsidR="00371A8B">
        <w:t>a</w:t>
      </w:r>
      <w:r>
        <w:t xml:space="preserve">, </w:t>
      </w:r>
      <w:r w:rsidR="0044627B">
        <w:t>jednakże bardzo</w:t>
      </w:r>
      <w:r>
        <w:t xml:space="preserve"> czasochłonn</w:t>
      </w:r>
      <w:r w:rsidR="0044627B">
        <w:t>a.</w:t>
      </w:r>
      <w:r>
        <w:t xml:space="preserve"> G</w:t>
      </w:r>
      <w:r w:rsidR="00794E02">
        <w:t>T</w:t>
      </w:r>
      <w:r>
        <w:t xml:space="preserve"> </w:t>
      </w:r>
      <w:r w:rsidR="0044627B">
        <w:t>uznała</w:t>
      </w:r>
      <w:r>
        <w:t xml:space="preserve">, że wysiłki powinny koncentrować się na </w:t>
      </w:r>
      <w:r w:rsidR="00207051">
        <w:t>pogłębianiu</w:t>
      </w:r>
      <w:r>
        <w:t xml:space="preserve"> wiedz</w:t>
      </w:r>
      <w:r w:rsidR="00207051">
        <w:t>y</w:t>
      </w:r>
      <w:r>
        <w:t xml:space="preserve"> na temat </w:t>
      </w:r>
      <w:r w:rsidR="00207051">
        <w:t>wybranych</w:t>
      </w:r>
      <w:r>
        <w:t xml:space="preserve"> </w:t>
      </w:r>
      <w:r w:rsidR="00207051">
        <w:t>zagadnień z</w:t>
      </w:r>
      <w:r>
        <w:t xml:space="preserve"> PROW i ich realizacj</w:t>
      </w:r>
      <w:r w:rsidR="00207051">
        <w:t>i</w:t>
      </w:r>
      <w:r>
        <w:t xml:space="preserve"> w </w:t>
      </w:r>
      <w:r w:rsidR="00207051">
        <w:t>wybranych</w:t>
      </w:r>
      <w:r>
        <w:t xml:space="preserve"> region</w:t>
      </w:r>
      <w:r w:rsidR="00207051">
        <w:t>ach</w:t>
      </w:r>
      <w:r>
        <w:t>.</w:t>
      </w:r>
    </w:p>
    <w:p w:rsidR="00605CA0" w:rsidRDefault="00207051" w:rsidP="00605CA0">
      <w:pPr>
        <w:jc w:val="both"/>
      </w:pPr>
      <w:r>
        <w:t>Ostateczna decyzja w kwestii wyboru regionów nie została jeszcze podjęta</w:t>
      </w:r>
      <w:r w:rsidR="00605CA0">
        <w:t xml:space="preserve"> przez G</w:t>
      </w:r>
      <w:r w:rsidR="00794E02">
        <w:t>T</w:t>
      </w:r>
      <w:r w:rsidR="00371A8B">
        <w:t>;</w:t>
      </w:r>
      <w:r w:rsidR="00605CA0">
        <w:t xml:space="preserve"> </w:t>
      </w:r>
      <w:r>
        <w:t xml:space="preserve">zgłoszone </w:t>
      </w:r>
      <w:r w:rsidR="00605CA0">
        <w:t>propozycje obejm</w:t>
      </w:r>
      <w:r>
        <w:t xml:space="preserve">owały: </w:t>
      </w:r>
      <w:r w:rsidRPr="00664318">
        <w:rPr>
          <w:b/>
        </w:rPr>
        <w:t>Włoch</w:t>
      </w:r>
      <w:r w:rsidR="006215BB">
        <w:rPr>
          <w:b/>
        </w:rPr>
        <w:t>y</w:t>
      </w:r>
      <w:r>
        <w:t xml:space="preserve">, </w:t>
      </w:r>
      <w:r w:rsidRPr="00664318">
        <w:rPr>
          <w:b/>
        </w:rPr>
        <w:t>Finlandię</w:t>
      </w:r>
      <w:r w:rsidR="00605CA0">
        <w:t xml:space="preserve"> i </w:t>
      </w:r>
      <w:r w:rsidR="00605CA0" w:rsidRPr="00664318">
        <w:rPr>
          <w:b/>
        </w:rPr>
        <w:t>Węg</w:t>
      </w:r>
      <w:r w:rsidRPr="00664318">
        <w:rPr>
          <w:b/>
        </w:rPr>
        <w:t>ry</w:t>
      </w:r>
      <w:r w:rsidR="00605CA0">
        <w:t xml:space="preserve"> oraz obszary, gdzie woda i gleba są "priorytetem" dla działań na rzecz rozwoju obszarów wiejskich (</w:t>
      </w:r>
      <w:r>
        <w:t>np.</w:t>
      </w:r>
      <w:r w:rsidR="00605CA0">
        <w:t xml:space="preserve"> </w:t>
      </w:r>
      <w:r w:rsidR="00605CA0" w:rsidRPr="00664318">
        <w:rPr>
          <w:b/>
        </w:rPr>
        <w:t>Dolna Saksonia</w:t>
      </w:r>
      <w:r w:rsidR="00605CA0">
        <w:t xml:space="preserve"> [</w:t>
      </w:r>
      <w:r>
        <w:t>Niemcy</w:t>
      </w:r>
      <w:r w:rsidR="00605CA0">
        <w:t xml:space="preserve">] i </w:t>
      </w:r>
      <w:r w:rsidR="00605CA0" w:rsidRPr="00664318">
        <w:rPr>
          <w:b/>
        </w:rPr>
        <w:t>Flandria</w:t>
      </w:r>
      <w:r w:rsidR="00605CA0">
        <w:t xml:space="preserve"> [</w:t>
      </w:r>
      <w:proofErr w:type="gramStart"/>
      <w:r w:rsidR="00605CA0">
        <w:t>B</w:t>
      </w:r>
      <w:r>
        <w:t>elgia</w:t>
      </w:r>
      <w:r w:rsidR="00605CA0">
        <w:t xml:space="preserve">] ), </w:t>
      </w:r>
      <w:proofErr w:type="gramEnd"/>
      <w:r w:rsidR="00605CA0">
        <w:t>jak również obszary w pobliżu Brukseli</w:t>
      </w:r>
      <w:r w:rsidR="001B26B9">
        <w:t>.</w:t>
      </w:r>
    </w:p>
    <w:p w:rsidR="00810E58" w:rsidRPr="00B8061E" w:rsidRDefault="00810E58" w:rsidP="006215BB">
      <w:pPr>
        <w:rPr>
          <w:b/>
        </w:rPr>
      </w:pPr>
    </w:p>
    <w:p w:rsidR="00207051" w:rsidRPr="006215BB" w:rsidRDefault="00207051" w:rsidP="006215BB">
      <w:pPr>
        <w:rPr>
          <w:b/>
          <w:i/>
          <w:sz w:val="26"/>
          <w:szCs w:val="26"/>
        </w:rPr>
      </w:pPr>
      <w:r w:rsidRPr="006215BB">
        <w:rPr>
          <w:b/>
          <w:i/>
          <w:sz w:val="26"/>
          <w:szCs w:val="26"/>
        </w:rPr>
        <w:t xml:space="preserve">Analiza PROW </w:t>
      </w:r>
    </w:p>
    <w:p w:rsidR="00207051" w:rsidRDefault="00794E02" w:rsidP="00207051">
      <w:pPr>
        <w:jc w:val="both"/>
      </w:pPr>
      <w:r>
        <w:t xml:space="preserve">W ramach </w:t>
      </w:r>
      <w:r w:rsidR="00207051">
        <w:t>G</w:t>
      </w:r>
      <w:r>
        <w:t>T</w:t>
      </w:r>
      <w:r w:rsidR="00207051">
        <w:t xml:space="preserve"> omówiono znaczenie oceny </w:t>
      </w:r>
      <w:r w:rsidR="002D6A8D">
        <w:t xml:space="preserve">tego, </w:t>
      </w:r>
      <w:r w:rsidR="00CC65D4">
        <w:t>co poszczególne</w:t>
      </w:r>
      <w:r w:rsidR="006215BB">
        <w:t xml:space="preserve"> instrumenty</w:t>
      </w:r>
      <w:r w:rsidR="00207051">
        <w:t xml:space="preserve"> PROW </w:t>
      </w:r>
      <w:r w:rsidR="00CC65D4">
        <w:t xml:space="preserve">oferują </w:t>
      </w:r>
      <w:r w:rsidR="00207051">
        <w:t>w aspekcie efektywnego gospodarowania zasobami gleb</w:t>
      </w:r>
      <w:r w:rsidR="008423C3">
        <w:t>y</w:t>
      </w:r>
      <w:r w:rsidR="00207051">
        <w:t xml:space="preserve"> i wody. Ocena może obejmować analiz</w:t>
      </w:r>
      <w:r w:rsidR="00506F20">
        <w:t>ę</w:t>
      </w:r>
      <w:r w:rsidR="00207051">
        <w:t xml:space="preserve"> SWOT w celu ustalenia priorytetów </w:t>
      </w:r>
      <w:r w:rsidR="00506F20">
        <w:t>dla</w:t>
      </w:r>
      <w:r w:rsidR="00207051">
        <w:t xml:space="preserve"> PROW </w:t>
      </w:r>
      <w:r w:rsidR="00506F20">
        <w:t>oraz wypracowania strategii</w:t>
      </w:r>
      <w:r w:rsidR="00207051">
        <w:t xml:space="preserve"> </w:t>
      </w:r>
      <w:r w:rsidR="00506F20">
        <w:t>dostosowanej</w:t>
      </w:r>
      <w:r w:rsidR="00207051">
        <w:t xml:space="preserve"> </w:t>
      </w:r>
      <w:r w:rsidR="006215BB">
        <w:t>dla</w:t>
      </w:r>
      <w:r w:rsidR="00506F20">
        <w:t xml:space="preserve"> </w:t>
      </w:r>
      <w:r w:rsidR="00207051">
        <w:t>potrzeb dan</w:t>
      </w:r>
      <w:r w:rsidR="00506F20">
        <w:t>ego</w:t>
      </w:r>
      <w:r w:rsidR="00207051">
        <w:t xml:space="preserve"> region</w:t>
      </w:r>
      <w:r w:rsidR="00506F20">
        <w:t>u</w:t>
      </w:r>
      <w:r w:rsidR="00207051">
        <w:t xml:space="preserve"> lub państw</w:t>
      </w:r>
      <w:r w:rsidR="00506F20">
        <w:t>a</w:t>
      </w:r>
      <w:r w:rsidR="00207051">
        <w:t xml:space="preserve"> członkows</w:t>
      </w:r>
      <w:r w:rsidR="00506F20">
        <w:t>kiego</w:t>
      </w:r>
      <w:r w:rsidR="00207051">
        <w:t xml:space="preserve">; ocenę środków dostępnych dla rolników i innych (potencjalnych) beneficjentów </w:t>
      </w:r>
      <w:r w:rsidR="00506F20">
        <w:t>w celu poprawy</w:t>
      </w:r>
      <w:r w:rsidR="00207051">
        <w:t xml:space="preserve"> efektywności </w:t>
      </w:r>
      <w:r w:rsidR="00506F20">
        <w:t xml:space="preserve">wykorzystania </w:t>
      </w:r>
      <w:r w:rsidR="00207051">
        <w:t xml:space="preserve">zasobów; </w:t>
      </w:r>
      <w:r w:rsidR="00506F20">
        <w:t>s</w:t>
      </w:r>
      <w:r w:rsidR="00207051">
        <w:t xml:space="preserve">tawki </w:t>
      </w:r>
      <w:r w:rsidR="00506F20">
        <w:t>op</w:t>
      </w:r>
      <w:r w:rsidR="00ED24C3">
        <w:t>ł</w:t>
      </w:r>
      <w:r w:rsidR="00506F20">
        <w:t>at</w:t>
      </w:r>
      <w:r w:rsidR="00207051">
        <w:t xml:space="preserve">; oraz </w:t>
      </w:r>
      <w:r w:rsidR="00506F20">
        <w:t>szczegółowe informacje</w:t>
      </w:r>
      <w:r w:rsidR="00207051">
        <w:t>, jakiego rodzaju działania są wspierane w ramach poszczególnych działań.</w:t>
      </w:r>
    </w:p>
    <w:p w:rsidR="00207051" w:rsidRDefault="00485C52" w:rsidP="00E03315">
      <w:pPr>
        <w:jc w:val="both"/>
      </w:pPr>
      <w:r>
        <w:t xml:space="preserve">Bardzo ważne jest również </w:t>
      </w:r>
      <w:r w:rsidR="00F103D0">
        <w:t>z</w:t>
      </w:r>
      <w:r w:rsidR="00207051">
        <w:t>rozumienie</w:t>
      </w:r>
      <w:r w:rsidR="008423C3">
        <w:t>,</w:t>
      </w:r>
      <w:r w:rsidR="0093497F">
        <w:t xml:space="preserve"> w jaki sposób w </w:t>
      </w:r>
      <w:r w:rsidR="00F103D0">
        <w:t xml:space="preserve">ramach </w:t>
      </w:r>
      <w:r w:rsidR="00207051">
        <w:t xml:space="preserve">PROW </w:t>
      </w:r>
      <w:r w:rsidR="0093497F">
        <w:t xml:space="preserve">różne </w:t>
      </w:r>
      <w:r>
        <w:t>działania</w:t>
      </w:r>
      <w:r w:rsidR="00207051">
        <w:t xml:space="preserve"> </w:t>
      </w:r>
      <w:r w:rsidR="0093497F" w:rsidRPr="0093497F">
        <w:t xml:space="preserve">łączone są </w:t>
      </w:r>
      <w:r w:rsidR="0093497F">
        <w:t>w</w:t>
      </w:r>
      <w:r w:rsidR="00207051">
        <w:t xml:space="preserve"> pakiety w celu </w:t>
      </w:r>
      <w:r w:rsidR="0093497F">
        <w:t>wsparcia</w:t>
      </w:r>
      <w:r w:rsidR="00207051">
        <w:t xml:space="preserve"> konkretnych </w:t>
      </w:r>
      <w:r w:rsidR="0093497F">
        <w:t>obszarów tematycznych</w:t>
      </w:r>
      <w:r w:rsidR="00207051">
        <w:t xml:space="preserve">. </w:t>
      </w:r>
      <w:r w:rsidR="0093497F">
        <w:t>A</w:t>
      </w:r>
      <w:r w:rsidR="00207051">
        <w:t xml:space="preserve">naliza PROW pomoże </w:t>
      </w:r>
      <w:r w:rsidR="00F103D0">
        <w:t xml:space="preserve">członkom </w:t>
      </w:r>
      <w:r w:rsidR="00207051">
        <w:t>G</w:t>
      </w:r>
      <w:r w:rsidR="001E5DB0">
        <w:t>T</w:t>
      </w:r>
      <w:r w:rsidR="00207051">
        <w:t xml:space="preserve"> zrozumieć, </w:t>
      </w:r>
      <w:r w:rsidR="0093497F">
        <w:t xml:space="preserve">jaki będzie </w:t>
      </w:r>
      <w:r w:rsidR="00CC65D4">
        <w:t xml:space="preserve">spodziewany </w:t>
      </w:r>
      <w:r w:rsidR="0093497F">
        <w:t xml:space="preserve">efekt podjętych działań w kontekście </w:t>
      </w:r>
      <w:r w:rsidR="00207051">
        <w:t xml:space="preserve">efektywnego gospodarowania </w:t>
      </w:r>
      <w:r w:rsidR="00207051" w:rsidRPr="00485C52">
        <w:t xml:space="preserve">zasobami i </w:t>
      </w:r>
      <w:r w:rsidR="00CC65D4" w:rsidRPr="00485C52">
        <w:t xml:space="preserve">w </w:t>
      </w:r>
      <w:r w:rsidR="00207051" w:rsidRPr="00485C52">
        <w:t>jak</w:t>
      </w:r>
      <w:r w:rsidR="00CC65D4" w:rsidRPr="00485C52">
        <w:t>i</w:t>
      </w:r>
      <w:r w:rsidR="00207051" w:rsidRPr="00485C52">
        <w:t xml:space="preserve"> </w:t>
      </w:r>
      <w:r w:rsidR="002D6A8D" w:rsidRPr="00485C52">
        <w:t>sposób jest to</w:t>
      </w:r>
      <w:r w:rsidR="00207051" w:rsidRPr="00485C52">
        <w:t xml:space="preserve"> przekazywane.</w:t>
      </w:r>
      <w:r w:rsidR="002D6A8D" w:rsidRPr="00485C52">
        <w:t xml:space="preserve"> Jednak</w:t>
      </w:r>
      <w:r w:rsidR="00207051" w:rsidRPr="00485C52">
        <w:t xml:space="preserve"> </w:t>
      </w:r>
      <w:proofErr w:type="gramStart"/>
      <w:r w:rsidR="002D6A8D" w:rsidRPr="00485C52">
        <w:t>z</w:t>
      </w:r>
      <w:r w:rsidR="00207051" w:rsidRPr="00485C52">
        <w:t>rozumie</w:t>
      </w:r>
      <w:r w:rsidR="002D6A8D" w:rsidRPr="00485C52">
        <w:t>nie</w:t>
      </w:r>
      <w:r w:rsidR="00207051" w:rsidRPr="00485C52">
        <w:t xml:space="preserve"> </w:t>
      </w:r>
      <w:r w:rsidR="002D6A8D" w:rsidRPr="00485C52">
        <w:t>jakie</w:t>
      </w:r>
      <w:proofErr w:type="gramEnd"/>
      <w:r w:rsidR="002D6A8D" w:rsidRPr="00485C52">
        <w:t xml:space="preserve"> jest lub będzie funkcjonowani</w:t>
      </w:r>
      <w:r w:rsidR="002D6A8D">
        <w:t xml:space="preserve">e przyjętych rozwiązań </w:t>
      </w:r>
      <w:r w:rsidR="00207051">
        <w:t>w praktyce, wymaga dogłębne</w:t>
      </w:r>
      <w:r w:rsidR="002D6A8D">
        <w:t>go</w:t>
      </w:r>
      <w:r w:rsidR="00207051">
        <w:t xml:space="preserve"> spojrzeni</w:t>
      </w:r>
      <w:r w:rsidR="002D6A8D">
        <w:t>a</w:t>
      </w:r>
      <w:r w:rsidR="00207051">
        <w:t xml:space="preserve"> na sytuację w wybranych państwach członkowskich i regionach oraz </w:t>
      </w:r>
      <w:r w:rsidR="002D6A8D">
        <w:t>podjęci</w:t>
      </w:r>
      <w:r w:rsidR="008423C3">
        <w:t>a</w:t>
      </w:r>
      <w:r w:rsidR="002D6A8D">
        <w:t xml:space="preserve"> dyskusji</w:t>
      </w:r>
      <w:r w:rsidR="00207051">
        <w:t xml:space="preserve"> z różnymi podmiotami</w:t>
      </w:r>
      <w:r w:rsidR="002D6A8D">
        <w:t xml:space="preserve"> działającymi w tej sferze</w:t>
      </w:r>
      <w:r w:rsidR="00207051">
        <w:t xml:space="preserve">. </w:t>
      </w:r>
      <w:r w:rsidR="002D6A8D">
        <w:t>Będzie to możliwe dzięki zastosowaniu tzw.</w:t>
      </w:r>
      <w:r w:rsidR="008423C3">
        <w:t xml:space="preserve"> analiz</w:t>
      </w:r>
      <w:r w:rsidR="00207051">
        <w:t xml:space="preserve"> regionaln</w:t>
      </w:r>
      <w:r w:rsidR="008423C3">
        <w:t>ych</w:t>
      </w:r>
      <w:r w:rsidR="00207051">
        <w:t>.</w:t>
      </w:r>
    </w:p>
    <w:p w:rsidR="00810E58" w:rsidRPr="00B8061E" w:rsidRDefault="00810E58" w:rsidP="006215BB">
      <w:pPr>
        <w:rPr>
          <w:b/>
        </w:rPr>
      </w:pPr>
    </w:p>
    <w:p w:rsidR="002D6A8D" w:rsidRPr="006215BB" w:rsidRDefault="002D6A8D" w:rsidP="006215BB">
      <w:pPr>
        <w:rPr>
          <w:b/>
          <w:i/>
          <w:sz w:val="26"/>
          <w:szCs w:val="26"/>
        </w:rPr>
      </w:pPr>
      <w:r w:rsidRPr="006215BB">
        <w:rPr>
          <w:b/>
          <w:i/>
          <w:sz w:val="26"/>
          <w:szCs w:val="26"/>
        </w:rPr>
        <w:t>Analizy regionalne</w:t>
      </w:r>
    </w:p>
    <w:p w:rsidR="002D6A8D" w:rsidRDefault="002D6A8D" w:rsidP="0078194E">
      <w:pPr>
        <w:spacing w:after="120"/>
        <w:jc w:val="both"/>
      </w:pPr>
      <w:r>
        <w:t>Analizy regionalne będą ważnym kierunkiem pracy G</w:t>
      </w:r>
      <w:r w:rsidR="00794E02">
        <w:t>T</w:t>
      </w:r>
      <w:r>
        <w:t xml:space="preserve">. </w:t>
      </w:r>
      <w:r w:rsidR="008423C3">
        <w:t>Niezbędne będzie</w:t>
      </w:r>
      <w:r>
        <w:t xml:space="preserve"> szersze spojrzeni</w:t>
      </w:r>
      <w:r w:rsidR="008423C3">
        <w:t>e</w:t>
      </w:r>
      <w:r>
        <w:t xml:space="preserve"> poza to, co jest zawarte w PROW oraz </w:t>
      </w:r>
      <w:r w:rsidR="008423C3">
        <w:t>zaobserwowanie</w:t>
      </w:r>
      <w:r>
        <w:t xml:space="preserve"> jak poszczególne aspekty funkcjonują w praktyce. </w:t>
      </w:r>
      <w:r w:rsidR="00A60DA8">
        <w:t>Będzie to wymagało opracowania zróżnicowanych sposobów działania oraz wykorzystania środków w zróżnicowany sposób</w:t>
      </w:r>
      <w:r>
        <w:t xml:space="preserve">. </w:t>
      </w:r>
      <w:r w:rsidR="00A60DA8">
        <w:t>Przykłady podano poniżej</w:t>
      </w:r>
      <w:r>
        <w:t>:</w:t>
      </w:r>
    </w:p>
    <w:p w:rsidR="002D6A8D" w:rsidRDefault="002D6A8D" w:rsidP="002D6A8D">
      <w:pPr>
        <w:jc w:val="both"/>
      </w:pPr>
      <w:r>
        <w:t>• Zrozumienie typów po</w:t>
      </w:r>
      <w:r w:rsidR="00A60DA8">
        <w:t>wiązań</w:t>
      </w:r>
      <w:r>
        <w:t xml:space="preserve"> </w:t>
      </w:r>
      <w:r w:rsidR="00A60DA8">
        <w:t xml:space="preserve">funkcjonujących </w:t>
      </w:r>
      <w:r>
        <w:t xml:space="preserve">w ramach PROW </w:t>
      </w:r>
      <w:r w:rsidR="00A60DA8">
        <w:t>dotyczących poszczególnych zakresów tematycznych</w:t>
      </w:r>
      <w:r>
        <w:t xml:space="preserve"> wraz z kryteriami wyboru;</w:t>
      </w:r>
    </w:p>
    <w:p w:rsidR="002D6A8D" w:rsidRDefault="00A60DA8" w:rsidP="002D6A8D">
      <w:pPr>
        <w:jc w:val="both"/>
      </w:pPr>
      <w:r>
        <w:t xml:space="preserve">• Czy istnieje zgodność z </w:t>
      </w:r>
      <w:r w:rsidR="002D6A8D">
        <w:t>priorytet</w:t>
      </w:r>
      <w:r>
        <w:t>ami</w:t>
      </w:r>
      <w:r w:rsidR="002D6A8D">
        <w:t xml:space="preserve"> </w:t>
      </w:r>
      <w:r>
        <w:t>z</w:t>
      </w:r>
      <w:r w:rsidRPr="00A60DA8">
        <w:t xml:space="preserve">ałożonymi </w:t>
      </w:r>
      <w:r w:rsidR="002D6A8D">
        <w:t xml:space="preserve">w </w:t>
      </w:r>
      <w:r>
        <w:t>ramach innych polityk oraz w jakim stopniu</w:t>
      </w:r>
      <w:r w:rsidR="002D6A8D">
        <w:t xml:space="preserve"> PROW </w:t>
      </w:r>
      <w:r>
        <w:t>się w nie wpisuje</w:t>
      </w:r>
      <w:r w:rsidR="002D6A8D">
        <w:t>;</w:t>
      </w:r>
    </w:p>
    <w:p w:rsidR="002D6A8D" w:rsidRDefault="002D6A8D" w:rsidP="002D6A8D">
      <w:pPr>
        <w:jc w:val="both"/>
      </w:pPr>
      <w:r>
        <w:t xml:space="preserve">• </w:t>
      </w:r>
      <w:proofErr w:type="gramStart"/>
      <w:r>
        <w:t>Zrozumienie w jaki</w:t>
      </w:r>
      <w:proofErr w:type="gramEnd"/>
      <w:r>
        <w:t xml:space="preserve"> sposób </w:t>
      </w:r>
      <w:r w:rsidR="00FA5684">
        <w:t>wdrażanie</w:t>
      </w:r>
      <w:r>
        <w:t xml:space="preserve"> tych </w:t>
      </w:r>
      <w:r w:rsidRPr="00FA5684">
        <w:t xml:space="preserve">samych </w:t>
      </w:r>
      <w:r w:rsidR="00FA5684" w:rsidRPr="00FA5684">
        <w:t>działań</w:t>
      </w:r>
      <w:r w:rsidRPr="00FA5684">
        <w:t xml:space="preserve"> </w:t>
      </w:r>
      <w:r>
        <w:t xml:space="preserve">jest </w:t>
      </w:r>
      <w:r w:rsidR="00FA5684">
        <w:t>realizowane</w:t>
      </w:r>
      <w:r>
        <w:t xml:space="preserve"> w różnych </w:t>
      </w:r>
      <w:r w:rsidR="00FA5684">
        <w:t>warunkach</w:t>
      </w:r>
      <w:r>
        <w:t xml:space="preserve">, w </w:t>
      </w:r>
      <w:r w:rsidR="00FA5684">
        <w:t>różnych</w:t>
      </w:r>
      <w:r>
        <w:t xml:space="preserve"> region</w:t>
      </w:r>
      <w:r w:rsidR="00FA5684">
        <w:t>ach oraz przez</w:t>
      </w:r>
      <w:r>
        <w:t xml:space="preserve"> różny</w:t>
      </w:r>
      <w:r w:rsidR="00FA5684">
        <w:t>ch</w:t>
      </w:r>
      <w:r>
        <w:t xml:space="preserve"> rolników;</w:t>
      </w:r>
    </w:p>
    <w:p w:rsidR="002D6A8D" w:rsidRDefault="002D6A8D" w:rsidP="002D6A8D">
      <w:pPr>
        <w:jc w:val="both"/>
      </w:pPr>
      <w:r>
        <w:lastRenderedPageBreak/>
        <w:t xml:space="preserve">• </w:t>
      </w:r>
      <w:proofErr w:type="gramStart"/>
      <w:r w:rsidR="00FA5684">
        <w:t>Zaobserwowanie w jaki</w:t>
      </w:r>
      <w:proofErr w:type="gramEnd"/>
      <w:r w:rsidR="00FA5684">
        <w:t xml:space="preserve"> sposób działania są</w:t>
      </w:r>
      <w:r>
        <w:t xml:space="preserve"> </w:t>
      </w:r>
      <w:r w:rsidR="00FA5684">
        <w:t>ukierunkowane oraz</w:t>
      </w:r>
      <w:r>
        <w:t xml:space="preserve"> </w:t>
      </w:r>
      <w:r w:rsidR="00FA5684">
        <w:t>grupowane</w:t>
      </w:r>
      <w:r>
        <w:t xml:space="preserve"> w </w:t>
      </w:r>
      <w:r w:rsidR="00FA5684">
        <w:t>pakiety</w:t>
      </w:r>
      <w:r>
        <w:t xml:space="preserve"> </w:t>
      </w:r>
      <w:r w:rsidR="00485C52">
        <w:t>w celu</w:t>
      </w:r>
      <w:r w:rsidR="00FA5684">
        <w:t xml:space="preserve"> rozwiązywanie konkretnych</w:t>
      </w:r>
      <w:r>
        <w:t xml:space="preserve"> problemów, </w:t>
      </w:r>
      <w:r w:rsidR="00FA5684">
        <w:t xml:space="preserve">w konkretnych obszarach geograficznych oraz </w:t>
      </w:r>
      <w:r w:rsidR="001E5DB0">
        <w:t xml:space="preserve">dla </w:t>
      </w:r>
      <w:r w:rsidR="00FA5684">
        <w:t>konkretnej grupy beneficjentów</w:t>
      </w:r>
      <w:r>
        <w:t>;</w:t>
      </w:r>
    </w:p>
    <w:p w:rsidR="002D6A8D" w:rsidRDefault="002D6A8D" w:rsidP="002D6A8D">
      <w:pPr>
        <w:jc w:val="both"/>
      </w:pPr>
      <w:r>
        <w:t xml:space="preserve">• </w:t>
      </w:r>
      <w:r w:rsidR="00485C52">
        <w:t xml:space="preserve">Czy działania są </w:t>
      </w:r>
      <w:r>
        <w:t>komplementarn</w:t>
      </w:r>
      <w:r w:rsidR="00485C52">
        <w:t>e</w:t>
      </w:r>
      <w:r>
        <w:t xml:space="preserve"> </w:t>
      </w:r>
      <w:r w:rsidR="00485C52">
        <w:t>do innych</w:t>
      </w:r>
      <w:r>
        <w:t xml:space="preserve"> </w:t>
      </w:r>
      <w:r w:rsidR="00485C52">
        <w:t>instrumentów</w:t>
      </w:r>
      <w:r>
        <w:t xml:space="preserve"> </w:t>
      </w:r>
      <w:r w:rsidR="00485C52">
        <w:t>finansowych</w:t>
      </w:r>
      <w:r>
        <w:t>, takich jak Europejski</w:t>
      </w:r>
      <w:r w:rsidR="00C70245">
        <w:t>e</w:t>
      </w:r>
      <w:r>
        <w:t xml:space="preserve"> </w:t>
      </w:r>
      <w:r w:rsidR="00485C52">
        <w:t>Fundusz</w:t>
      </w:r>
      <w:r w:rsidR="00C70245">
        <w:t>e</w:t>
      </w:r>
      <w:r w:rsidR="00485C52">
        <w:t xml:space="preserve"> </w:t>
      </w:r>
      <w:r w:rsidR="00C70245">
        <w:t>Strukturalne</w:t>
      </w:r>
      <w:r w:rsidR="00485C52">
        <w:t xml:space="preserve"> i I</w:t>
      </w:r>
      <w:r>
        <w:t>nwestycyjn</w:t>
      </w:r>
      <w:r w:rsidR="00C70245">
        <w:t>e</w:t>
      </w:r>
      <w:r>
        <w:t xml:space="preserve"> (E</w:t>
      </w:r>
      <w:r w:rsidR="001E5DB0">
        <w:t>F</w:t>
      </w:r>
      <w:r>
        <w:t xml:space="preserve">SI) oraz </w:t>
      </w:r>
      <w:r w:rsidR="00485C52">
        <w:t xml:space="preserve">pozostałe instrumenty </w:t>
      </w:r>
      <w:r>
        <w:t>unijne i krajowe;</w:t>
      </w:r>
    </w:p>
    <w:p w:rsidR="002D6A8D" w:rsidRDefault="002D6A8D" w:rsidP="002D6A8D">
      <w:pPr>
        <w:jc w:val="both"/>
      </w:pPr>
      <w:proofErr w:type="gramStart"/>
      <w:r>
        <w:t xml:space="preserve">• </w:t>
      </w:r>
      <w:r w:rsidR="00485C52">
        <w:t>Jaka</w:t>
      </w:r>
      <w:proofErr w:type="gramEnd"/>
      <w:r w:rsidR="00485C52">
        <w:t xml:space="preserve"> jest rola </w:t>
      </w:r>
      <w:r>
        <w:t>interesariuszy (prywatny</w:t>
      </w:r>
      <w:r w:rsidR="00485C52">
        <w:t>ch i</w:t>
      </w:r>
      <w:r>
        <w:t xml:space="preserve"> publiczny</w:t>
      </w:r>
      <w:r w:rsidR="00485C52">
        <w:t>ch</w:t>
      </w:r>
      <w:r>
        <w:t xml:space="preserve">) w realizacji </w:t>
      </w:r>
      <w:r w:rsidR="00485C52">
        <w:t xml:space="preserve">w praktyce </w:t>
      </w:r>
      <w:r>
        <w:t>działań na rzecz dalszego efektywnego gospodarowania zasobami.</w:t>
      </w:r>
    </w:p>
    <w:p w:rsidR="004E68BF" w:rsidRPr="002827F7" w:rsidRDefault="004E68BF" w:rsidP="00B8061E">
      <w:pPr>
        <w:spacing w:after="120"/>
        <w:jc w:val="both"/>
        <w:rPr>
          <w:i/>
        </w:rPr>
      </w:pPr>
      <w:r w:rsidRPr="002827F7">
        <w:rPr>
          <w:i/>
        </w:rPr>
        <w:t xml:space="preserve">"... Szczególnie duże środki pieniężne są angażowane w sektor bioenergii, stad też istnieje </w:t>
      </w:r>
      <w:r w:rsidR="004D081A" w:rsidRPr="002827F7">
        <w:rPr>
          <w:i/>
        </w:rPr>
        <w:t xml:space="preserve">zagrożenie </w:t>
      </w:r>
      <w:r w:rsidRPr="002827F7">
        <w:rPr>
          <w:i/>
        </w:rPr>
        <w:t>konkurencj</w:t>
      </w:r>
      <w:r w:rsidR="004D081A" w:rsidRPr="002827F7">
        <w:rPr>
          <w:i/>
        </w:rPr>
        <w:t>ą</w:t>
      </w:r>
      <w:r w:rsidRPr="002827F7">
        <w:rPr>
          <w:i/>
        </w:rPr>
        <w:t xml:space="preserve"> o pozyskanie środków ze strony tego sektora, co może prowadzić do sytuacji, że ze środków finansowych skorzystają nie </w:t>
      </w:r>
      <w:proofErr w:type="gramStart"/>
      <w:r w:rsidRPr="002827F7">
        <w:rPr>
          <w:i/>
        </w:rPr>
        <w:t>rolnicy lecz</w:t>
      </w:r>
      <w:proofErr w:type="gramEnd"/>
      <w:r w:rsidRPr="002827F7">
        <w:rPr>
          <w:i/>
        </w:rPr>
        <w:t xml:space="preserve"> duże firm</w:t>
      </w:r>
      <w:r w:rsidR="00E03315">
        <w:rPr>
          <w:i/>
        </w:rPr>
        <w:t>y</w:t>
      </w:r>
      <w:r w:rsidRPr="002827F7">
        <w:rPr>
          <w:i/>
        </w:rPr>
        <w:t xml:space="preserve"> energetyczne. </w:t>
      </w:r>
      <w:r w:rsidR="004D081A" w:rsidRPr="002827F7">
        <w:rPr>
          <w:i/>
        </w:rPr>
        <w:t>Z</w:t>
      </w:r>
      <w:r w:rsidRPr="002827F7">
        <w:rPr>
          <w:i/>
        </w:rPr>
        <w:t xml:space="preserve"> drugiej strony istnieją duże możliwości </w:t>
      </w:r>
      <w:r w:rsidR="004D081A" w:rsidRPr="002827F7">
        <w:rPr>
          <w:i/>
        </w:rPr>
        <w:t xml:space="preserve">recyklingu </w:t>
      </w:r>
      <w:r w:rsidR="00D7284E" w:rsidRPr="006215BB">
        <w:rPr>
          <w:i/>
        </w:rPr>
        <w:t>składników pokarmowych</w:t>
      </w:r>
      <w:r w:rsidR="004D081A" w:rsidRPr="002827F7">
        <w:rPr>
          <w:i/>
        </w:rPr>
        <w:t xml:space="preserve">, dlatego też </w:t>
      </w:r>
      <w:r w:rsidRPr="002827F7">
        <w:rPr>
          <w:i/>
        </w:rPr>
        <w:t xml:space="preserve">powinniśmy się skupić na </w:t>
      </w:r>
      <w:r w:rsidR="004D081A" w:rsidRPr="002827F7">
        <w:rPr>
          <w:i/>
        </w:rPr>
        <w:t>wywalczeniu fina</w:t>
      </w:r>
      <w:r w:rsidR="00B8061E">
        <w:rPr>
          <w:i/>
        </w:rPr>
        <w:t>n</w:t>
      </w:r>
      <w:r w:rsidR="004D081A" w:rsidRPr="002827F7">
        <w:rPr>
          <w:i/>
        </w:rPr>
        <w:t>sowania w ramach PROW działań wpływających na poprawę efektywności wykorzystania zasobów z tego potencjaln</w:t>
      </w:r>
      <w:r w:rsidR="00C70245">
        <w:rPr>
          <w:i/>
        </w:rPr>
        <w:t>ie</w:t>
      </w:r>
      <w:r w:rsidR="004D081A" w:rsidRPr="002827F7">
        <w:rPr>
          <w:i/>
        </w:rPr>
        <w:t xml:space="preserve"> dużego źródła.”</w:t>
      </w:r>
    </w:p>
    <w:p w:rsidR="00CD7B4F" w:rsidRPr="007C681F" w:rsidRDefault="004E68BF" w:rsidP="004E68BF">
      <w:pPr>
        <w:jc w:val="both"/>
        <w:rPr>
          <w:i/>
        </w:rPr>
      </w:pPr>
      <w:proofErr w:type="spellStart"/>
      <w:r w:rsidRPr="007C681F">
        <w:rPr>
          <w:b/>
          <w:i/>
        </w:rPr>
        <w:t>Kimo</w:t>
      </w:r>
      <w:proofErr w:type="spellEnd"/>
      <w:r w:rsidRPr="007C681F">
        <w:rPr>
          <w:b/>
          <w:i/>
        </w:rPr>
        <w:t xml:space="preserve"> van </w:t>
      </w:r>
      <w:proofErr w:type="spellStart"/>
      <w:r w:rsidRPr="007C681F">
        <w:rPr>
          <w:b/>
          <w:i/>
        </w:rPr>
        <w:t>Dijk</w:t>
      </w:r>
      <w:proofErr w:type="spellEnd"/>
      <w:r w:rsidRPr="007C681F">
        <w:rPr>
          <w:i/>
        </w:rPr>
        <w:t xml:space="preserve"> (</w:t>
      </w:r>
      <w:r w:rsidR="007C681F">
        <w:t xml:space="preserve">Europejska Platforma Zrównoważonego Fosforu </w:t>
      </w:r>
      <w:r w:rsidRPr="007C681F">
        <w:rPr>
          <w:i/>
        </w:rPr>
        <w:t>(ESPP), Bruksela</w:t>
      </w:r>
    </w:p>
    <w:p w:rsidR="00810E58" w:rsidRPr="00B8061E" w:rsidRDefault="00810E58" w:rsidP="004E68BF">
      <w:pPr>
        <w:jc w:val="both"/>
        <w:rPr>
          <w:b/>
        </w:rPr>
      </w:pPr>
    </w:p>
    <w:p w:rsidR="004D081A" w:rsidRPr="006215BB" w:rsidRDefault="004D081A" w:rsidP="004E68BF">
      <w:pPr>
        <w:jc w:val="both"/>
        <w:rPr>
          <w:b/>
          <w:i/>
          <w:sz w:val="26"/>
          <w:szCs w:val="26"/>
        </w:rPr>
      </w:pPr>
      <w:r w:rsidRPr="00593D83">
        <w:rPr>
          <w:b/>
          <w:i/>
          <w:sz w:val="26"/>
          <w:szCs w:val="26"/>
        </w:rPr>
        <w:t>Przykłady dobrych praktyk</w:t>
      </w:r>
    </w:p>
    <w:p w:rsidR="004D081A" w:rsidRDefault="001E5DB0" w:rsidP="004D081A">
      <w:pPr>
        <w:jc w:val="both"/>
      </w:pPr>
      <w:r>
        <w:t xml:space="preserve">Członkowie </w:t>
      </w:r>
      <w:r w:rsidR="004D081A">
        <w:t>G</w:t>
      </w:r>
      <w:r>
        <w:t>T</w:t>
      </w:r>
      <w:r w:rsidR="004D081A">
        <w:t xml:space="preserve"> jasno stwierdzili, że zarówno dokładne zrozumienie mechanizmów działania w ramach PROW jak i ocena rzeczywistych efektów z nich płynących, będzie znacznie </w:t>
      </w:r>
      <w:proofErr w:type="gramStart"/>
      <w:r w:rsidR="004D081A">
        <w:t>pełniejsz</w:t>
      </w:r>
      <w:r w:rsidR="001676A3">
        <w:t>a</w:t>
      </w:r>
      <w:r w:rsidR="004D081A">
        <w:t xml:space="preserve"> jeśli</w:t>
      </w:r>
      <w:proofErr w:type="gramEnd"/>
      <w:r w:rsidR="004D081A">
        <w:t xml:space="preserve"> rozpatrzone zostaną konkretne przykłady podejmowanych działań</w:t>
      </w:r>
      <w:r w:rsidR="00C70245">
        <w:t xml:space="preserve"> oraz ich</w:t>
      </w:r>
      <w:r w:rsidR="004D081A">
        <w:t xml:space="preserve"> </w:t>
      </w:r>
      <w:r w:rsidR="00C5712C">
        <w:t>efekt</w:t>
      </w:r>
      <w:r w:rsidR="006215BB">
        <w:t>y</w:t>
      </w:r>
      <w:r w:rsidR="00C70245">
        <w:t>, dzięki czemu możliwe będzie wyciągnięcie</w:t>
      </w:r>
      <w:r w:rsidR="00C5712C">
        <w:t xml:space="preserve"> </w:t>
      </w:r>
      <w:r w:rsidR="004D081A">
        <w:t>wniosk</w:t>
      </w:r>
      <w:r w:rsidR="00C70245">
        <w:t xml:space="preserve">ów </w:t>
      </w:r>
      <w:r w:rsidR="00C5712C">
        <w:t>na przyszłość</w:t>
      </w:r>
      <w:r w:rsidR="004D081A">
        <w:t xml:space="preserve">. </w:t>
      </w:r>
      <w:r w:rsidR="00C5712C">
        <w:t xml:space="preserve">To zadanie </w:t>
      </w:r>
      <w:r w:rsidR="004D081A">
        <w:t>G</w:t>
      </w:r>
      <w:r>
        <w:t>T</w:t>
      </w:r>
      <w:r w:rsidR="004D081A">
        <w:t xml:space="preserve"> </w:t>
      </w:r>
      <w:r w:rsidR="00C5712C">
        <w:t xml:space="preserve">będzie obejmować </w:t>
      </w:r>
      <w:r w:rsidR="00C70245">
        <w:t xml:space="preserve">swym zakresem </w:t>
      </w:r>
      <w:r w:rsidR="00C5712C">
        <w:t>najważniejsz</w:t>
      </w:r>
      <w:r w:rsidR="00C70245">
        <w:t>e</w:t>
      </w:r>
      <w:r w:rsidR="00C5712C">
        <w:t xml:space="preserve"> przykłady </w:t>
      </w:r>
      <w:r w:rsidR="001676A3">
        <w:t>działań</w:t>
      </w:r>
      <w:r w:rsidR="00C5712C">
        <w:t xml:space="preserve"> dofinansowanych przez Europejski Fundusz Rolny na R</w:t>
      </w:r>
      <w:r w:rsidR="00C5712C" w:rsidRPr="00C5712C">
        <w:t>zecz Rozwoju Obszarów Wiejskich</w:t>
      </w:r>
      <w:r w:rsidR="00C5712C">
        <w:t xml:space="preserve"> (EFRROW), </w:t>
      </w:r>
      <w:r w:rsidR="004D081A">
        <w:t xml:space="preserve">w których wsparcie zostało wykorzystane do poprawy efektywności wykorzystania zasobów gleb i wody. Prace </w:t>
      </w:r>
      <w:r w:rsidR="00C5712C">
        <w:t>powinny</w:t>
      </w:r>
      <w:r w:rsidR="004D081A">
        <w:t xml:space="preserve"> obejmować identyfikację przykładów, </w:t>
      </w:r>
      <w:r w:rsidR="00C5712C">
        <w:t>które zakończyły się sukcesem, jak równi</w:t>
      </w:r>
      <w:r w:rsidR="00C70245">
        <w:t>eż tych, które się nie powiodły,</w:t>
      </w:r>
      <w:r w:rsidR="00C5712C">
        <w:t xml:space="preserve"> </w:t>
      </w:r>
      <w:r w:rsidR="00C70245">
        <w:t xml:space="preserve">a </w:t>
      </w:r>
      <w:r w:rsidR="00C5712C">
        <w:t>analiza powinna skupić się na zidentyfikowaniu czynników, które pozwoliły osiągnąć sukces lub przyczyniły się do porażki.</w:t>
      </w:r>
    </w:p>
    <w:p w:rsidR="004D081A" w:rsidRDefault="004D081A" w:rsidP="004D081A">
      <w:pPr>
        <w:jc w:val="both"/>
      </w:pPr>
      <w:r>
        <w:t>G</w:t>
      </w:r>
      <w:r w:rsidR="001E5DB0">
        <w:t>T</w:t>
      </w:r>
      <w:r>
        <w:t xml:space="preserve"> </w:t>
      </w:r>
      <w:r w:rsidR="0007781F">
        <w:t>jest przekonana</w:t>
      </w:r>
      <w:r>
        <w:t>,</w:t>
      </w:r>
      <w:r w:rsidR="0007781F">
        <w:t xml:space="preserve"> że jest </w:t>
      </w:r>
      <w:r>
        <w:t xml:space="preserve">wiele wspaniałych przykładów dobrych praktyk, </w:t>
      </w:r>
      <w:r w:rsidR="001676A3">
        <w:t xml:space="preserve">z </w:t>
      </w:r>
      <w:r>
        <w:t>któr</w:t>
      </w:r>
      <w:r w:rsidR="001676A3">
        <w:t>ych</w:t>
      </w:r>
      <w:r>
        <w:t xml:space="preserve"> </w:t>
      </w:r>
      <w:r w:rsidR="0007781F">
        <w:t>można się wiele na</w:t>
      </w:r>
      <w:r>
        <w:t>uczyć,</w:t>
      </w:r>
      <w:r w:rsidR="0007781F">
        <w:t xml:space="preserve"> można je znaleźć </w:t>
      </w:r>
      <w:r w:rsidR="001676A3">
        <w:t xml:space="preserve">m.in. </w:t>
      </w:r>
      <w:r w:rsidR="0007781F">
        <w:t xml:space="preserve">w bazie projektów programu LIFE oraz na stronie internetowej Europejskiej Sieci </w:t>
      </w:r>
      <w:r w:rsidR="00E03315">
        <w:t xml:space="preserve">na rzecz </w:t>
      </w:r>
      <w:r w:rsidR="0007781F">
        <w:t xml:space="preserve">Rozwoju Obszarów </w:t>
      </w:r>
      <w:r w:rsidR="00B8061E">
        <w:t>W</w:t>
      </w:r>
      <w:r w:rsidR="0007781F">
        <w:t>iejskich (ENRD)</w:t>
      </w:r>
      <w:r>
        <w:t xml:space="preserve">. </w:t>
      </w:r>
      <w:r w:rsidR="0007781F">
        <w:t>Przegląd</w:t>
      </w:r>
      <w:r>
        <w:t xml:space="preserve"> różnych baz danych </w:t>
      </w:r>
      <w:r w:rsidR="0007781F">
        <w:t>umożliwi</w:t>
      </w:r>
      <w:r>
        <w:t xml:space="preserve"> </w:t>
      </w:r>
      <w:r w:rsidR="0007781F">
        <w:t>analizę szeregu przykładów podejmowanych działań oraz identyfikację</w:t>
      </w:r>
      <w:r>
        <w:t xml:space="preserve"> czynnik</w:t>
      </w:r>
      <w:r w:rsidR="0007781F">
        <w:t xml:space="preserve">ów przyczyniających się do osiągnięcia satysfakcjonujących wyników </w:t>
      </w:r>
      <w:r w:rsidR="00907399">
        <w:t>oraz</w:t>
      </w:r>
      <w:r w:rsidR="0007781F">
        <w:t xml:space="preserve"> </w:t>
      </w:r>
      <w:r w:rsidR="00907399">
        <w:t xml:space="preserve">określenia istniejących </w:t>
      </w:r>
      <w:r>
        <w:t xml:space="preserve">barier. </w:t>
      </w:r>
      <w:r w:rsidR="002827F7">
        <w:t xml:space="preserve">Uczestnicy </w:t>
      </w:r>
      <w:r>
        <w:t>G</w:t>
      </w:r>
      <w:r w:rsidR="001E5DB0">
        <w:t>T</w:t>
      </w:r>
      <w:r>
        <w:t xml:space="preserve"> </w:t>
      </w:r>
      <w:r w:rsidR="002827F7">
        <w:t>stwierdzili ponadto</w:t>
      </w:r>
      <w:r>
        <w:t xml:space="preserve">, że </w:t>
      </w:r>
      <w:r w:rsidR="002827F7">
        <w:t>nie zawsze zidentyfikowane przykłady</w:t>
      </w:r>
      <w:r>
        <w:t xml:space="preserve"> dobr</w:t>
      </w:r>
      <w:r w:rsidR="00907399">
        <w:t>ych</w:t>
      </w:r>
      <w:r>
        <w:t xml:space="preserve"> </w:t>
      </w:r>
      <w:r w:rsidR="00907399">
        <w:t>p</w:t>
      </w:r>
      <w:r>
        <w:t>raktyk i studi</w:t>
      </w:r>
      <w:r w:rsidR="00907399">
        <w:t>a</w:t>
      </w:r>
      <w:r>
        <w:t xml:space="preserve"> przypadku</w:t>
      </w:r>
      <w:r w:rsidR="002827F7">
        <w:t xml:space="preserve"> dostarczają wystarczająco szczegółowych informacji</w:t>
      </w:r>
      <w:r>
        <w:t xml:space="preserve">, </w:t>
      </w:r>
      <w:r w:rsidR="002827F7">
        <w:t xml:space="preserve">aby możliwe było zrozumienie jak i dlaczego podjęte działania zostały </w:t>
      </w:r>
      <w:r w:rsidR="00907399">
        <w:t>wy</w:t>
      </w:r>
      <w:r w:rsidR="002827F7">
        <w:t>pracowane i zastosowane w praktyce</w:t>
      </w:r>
      <w:r>
        <w:t>.</w:t>
      </w:r>
    </w:p>
    <w:p w:rsidR="002827F7" w:rsidRPr="002827F7" w:rsidRDefault="002827F7" w:rsidP="00B8061E">
      <w:pPr>
        <w:spacing w:after="120"/>
        <w:jc w:val="both"/>
        <w:rPr>
          <w:i/>
        </w:rPr>
      </w:pPr>
      <w:r w:rsidRPr="002827F7">
        <w:rPr>
          <w:i/>
        </w:rPr>
        <w:t xml:space="preserve">"... Jeśli chodzi o rozwój obszarów wiejskich </w:t>
      </w:r>
      <w:r w:rsidR="00DA2998">
        <w:rPr>
          <w:i/>
        </w:rPr>
        <w:t xml:space="preserve">realizowanych </w:t>
      </w:r>
      <w:r w:rsidRPr="002827F7">
        <w:rPr>
          <w:i/>
        </w:rPr>
        <w:t>jest wiele wsp</w:t>
      </w:r>
      <w:r w:rsidR="00DA2998">
        <w:rPr>
          <w:i/>
        </w:rPr>
        <w:t>aniałych inicjatyw / projektów,</w:t>
      </w:r>
      <w:r w:rsidRPr="002827F7">
        <w:rPr>
          <w:i/>
        </w:rPr>
        <w:t xml:space="preserve"> </w:t>
      </w:r>
      <w:r>
        <w:rPr>
          <w:i/>
        </w:rPr>
        <w:t xml:space="preserve">dla których środki finansowe </w:t>
      </w:r>
      <w:r w:rsidR="0068451C">
        <w:rPr>
          <w:i/>
        </w:rPr>
        <w:t>były</w:t>
      </w:r>
      <w:r>
        <w:rPr>
          <w:i/>
        </w:rPr>
        <w:t xml:space="preserve"> pozysk</w:t>
      </w:r>
      <w:r w:rsidR="0068451C">
        <w:rPr>
          <w:i/>
        </w:rPr>
        <w:t>iw</w:t>
      </w:r>
      <w:r>
        <w:rPr>
          <w:i/>
        </w:rPr>
        <w:t xml:space="preserve">ane jak nie </w:t>
      </w:r>
      <w:r w:rsidR="0068451C">
        <w:rPr>
          <w:i/>
        </w:rPr>
        <w:t xml:space="preserve">w jeden, to w </w:t>
      </w:r>
      <w:r w:rsidRPr="002827F7">
        <w:rPr>
          <w:i/>
        </w:rPr>
        <w:t>inny sposób.</w:t>
      </w:r>
      <w:r w:rsidR="0068451C">
        <w:rPr>
          <w:i/>
        </w:rPr>
        <w:t xml:space="preserve"> Istnieją dwa słowa kluczowe:</w:t>
      </w:r>
      <w:r w:rsidRPr="002827F7">
        <w:rPr>
          <w:i/>
        </w:rPr>
        <w:t xml:space="preserve"> </w:t>
      </w:r>
      <w:r w:rsidR="0068451C">
        <w:rPr>
          <w:i/>
        </w:rPr>
        <w:t>pierwsze to bądź kreatywny</w:t>
      </w:r>
      <w:r w:rsidRPr="002827F7">
        <w:rPr>
          <w:i/>
        </w:rPr>
        <w:t>, a drugi</w:t>
      </w:r>
      <w:r w:rsidR="0068451C">
        <w:rPr>
          <w:i/>
        </w:rPr>
        <w:t>e</w:t>
      </w:r>
      <w:r w:rsidRPr="002827F7">
        <w:rPr>
          <w:i/>
        </w:rPr>
        <w:t xml:space="preserve"> </w:t>
      </w:r>
      <w:r w:rsidR="0068451C">
        <w:rPr>
          <w:i/>
        </w:rPr>
        <w:t xml:space="preserve">pozyskuj </w:t>
      </w:r>
      <w:r w:rsidRPr="002827F7">
        <w:rPr>
          <w:i/>
        </w:rPr>
        <w:t>fundusz</w:t>
      </w:r>
      <w:r w:rsidR="0068451C">
        <w:rPr>
          <w:i/>
        </w:rPr>
        <w:t>e</w:t>
      </w:r>
      <w:r w:rsidRPr="002827F7">
        <w:rPr>
          <w:i/>
        </w:rPr>
        <w:t xml:space="preserve"> z różnych </w:t>
      </w:r>
      <w:proofErr w:type="gramStart"/>
      <w:r w:rsidRPr="002827F7">
        <w:rPr>
          <w:i/>
        </w:rPr>
        <w:t>źródeł ... "</w:t>
      </w:r>
      <w:proofErr w:type="gramEnd"/>
    </w:p>
    <w:p w:rsidR="002827F7" w:rsidRDefault="002827F7" w:rsidP="002827F7">
      <w:pPr>
        <w:jc w:val="both"/>
        <w:rPr>
          <w:i/>
        </w:rPr>
      </w:pPr>
      <w:proofErr w:type="spellStart"/>
      <w:r w:rsidRPr="00664318">
        <w:rPr>
          <w:b/>
          <w:i/>
        </w:rPr>
        <w:t>Koen</w:t>
      </w:r>
      <w:proofErr w:type="spellEnd"/>
      <w:r w:rsidRPr="00664318">
        <w:rPr>
          <w:b/>
          <w:i/>
        </w:rPr>
        <w:t xml:space="preserve"> van </w:t>
      </w:r>
      <w:proofErr w:type="spellStart"/>
      <w:r w:rsidRPr="00664318">
        <w:rPr>
          <w:b/>
          <w:i/>
        </w:rPr>
        <w:t>Keer</w:t>
      </w:r>
      <w:proofErr w:type="spellEnd"/>
      <w:r w:rsidRPr="002827F7">
        <w:rPr>
          <w:i/>
        </w:rPr>
        <w:t xml:space="preserve">, </w:t>
      </w:r>
      <w:proofErr w:type="spellStart"/>
      <w:r w:rsidRPr="002827F7">
        <w:rPr>
          <w:i/>
        </w:rPr>
        <w:t>Yara</w:t>
      </w:r>
      <w:proofErr w:type="spellEnd"/>
    </w:p>
    <w:p w:rsidR="006215BB" w:rsidRPr="00B8061E" w:rsidRDefault="006215BB" w:rsidP="006215BB">
      <w:pPr>
        <w:jc w:val="both"/>
        <w:rPr>
          <w:b/>
        </w:rPr>
      </w:pPr>
    </w:p>
    <w:p w:rsidR="00781434" w:rsidRPr="006215BB" w:rsidRDefault="00DA2998" w:rsidP="006215BB">
      <w:pPr>
        <w:jc w:val="both"/>
        <w:rPr>
          <w:b/>
          <w:i/>
          <w:sz w:val="26"/>
          <w:szCs w:val="26"/>
        </w:rPr>
      </w:pPr>
      <w:r w:rsidRPr="006215BB">
        <w:rPr>
          <w:b/>
          <w:i/>
          <w:sz w:val="26"/>
          <w:szCs w:val="26"/>
        </w:rPr>
        <w:t>P</w:t>
      </w:r>
      <w:r w:rsidR="002E174F" w:rsidRPr="006215BB">
        <w:rPr>
          <w:b/>
          <w:i/>
          <w:sz w:val="26"/>
          <w:szCs w:val="26"/>
        </w:rPr>
        <w:t>raktyczne efekty – wartość dodana i uniknięcie natłoku informacji</w:t>
      </w:r>
    </w:p>
    <w:p w:rsidR="002E174F" w:rsidRDefault="002E174F" w:rsidP="002827F7">
      <w:pPr>
        <w:jc w:val="both"/>
      </w:pPr>
      <w:r>
        <w:t>Podczas</w:t>
      </w:r>
      <w:r w:rsidRPr="002E174F">
        <w:t xml:space="preserve"> ostatniej sesji </w:t>
      </w:r>
      <w:r>
        <w:t>spotkania</w:t>
      </w:r>
      <w:r w:rsidRPr="002E174F">
        <w:t xml:space="preserve"> członkowie G</w:t>
      </w:r>
      <w:r w:rsidR="002B593E">
        <w:t>T</w:t>
      </w:r>
      <w:r w:rsidRPr="002E174F">
        <w:t xml:space="preserve"> </w:t>
      </w:r>
      <w:r>
        <w:t>zastanawiali się</w:t>
      </w:r>
      <w:r w:rsidRPr="002E174F">
        <w:t>, jakie</w:t>
      </w:r>
      <w:r>
        <w:t xml:space="preserve"> powinny być efekty pracy grupy oraz jakie materiały powinny powstać.</w:t>
      </w:r>
      <w:r w:rsidRPr="002E174F">
        <w:t xml:space="preserve"> </w:t>
      </w:r>
      <w:r w:rsidR="00E6245E">
        <w:t>Uznano, że bardzo ważne jest zbieranie i gromadzenie</w:t>
      </w:r>
      <w:r w:rsidRPr="002E174F">
        <w:t xml:space="preserve"> informacji </w:t>
      </w:r>
      <w:r w:rsidR="00E6245E">
        <w:t>oraz</w:t>
      </w:r>
      <w:r w:rsidRPr="002E174F">
        <w:t xml:space="preserve"> </w:t>
      </w:r>
      <w:r w:rsidR="00E6245E">
        <w:t xml:space="preserve">właściwe </w:t>
      </w:r>
      <w:proofErr w:type="gramStart"/>
      <w:r w:rsidR="00DA2998">
        <w:t>o</w:t>
      </w:r>
      <w:r w:rsidR="00E6245E">
        <w:t>kreślenie co</w:t>
      </w:r>
      <w:proofErr w:type="gramEnd"/>
      <w:r w:rsidR="00E6245E">
        <w:t xml:space="preserve"> jest niezbędne i co jest realne do wykonania</w:t>
      </w:r>
      <w:r w:rsidRPr="002E174F">
        <w:t>.</w:t>
      </w:r>
    </w:p>
    <w:p w:rsidR="00E6245E" w:rsidRPr="00E6245E" w:rsidRDefault="00E6245E" w:rsidP="00795AA4">
      <w:pPr>
        <w:spacing w:after="120"/>
        <w:jc w:val="both"/>
        <w:rPr>
          <w:i/>
        </w:rPr>
      </w:pPr>
      <w:r w:rsidRPr="00E6245E">
        <w:rPr>
          <w:i/>
        </w:rPr>
        <w:lastRenderedPageBreak/>
        <w:t xml:space="preserve">"... </w:t>
      </w:r>
      <w:r>
        <w:rPr>
          <w:i/>
        </w:rPr>
        <w:t xml:space="preserve">Zdarza się, że </w:t>
      </w:r>
      <w:r w:rsidRPr="00E6245E">
        <w:rPr>
          <w:i/>
        </w:rPr>
        <w:t>rolnicy są zainteresowani</w:t>
      </w:r>
      <w:r w:rsidR="00681F07">
        <w:rPr>
          <w:i/>
        </w:rPr>
        <w:t xml:space="preserve"> </w:t>
      </w:r>
      <w:r w:rsidRPr="00E6245E">
        <w:rPr>
          <w:i/>
        </w:rPr>
        <w:t>dba</w:t>
      </w:r>
      <w:r w:rsidR="00681F07">
        <w:rPr>
          <w:i/>
        </w:rPr>
        <w:t>niem</w:t>
      </w:r>
      <w:r w:rsidRPr="00E6245E">
        <w:rPr>
          <w:i/>
        </w:rPr>
        <w:t xml:space="preserve"> o środowisko</w:t>
      </w:r>
      <w:r>
        <w:rPr>
          <w:i/>
        </w:rPr>
        <w:t xml:space="preserve"> naturalne</w:t>
      </w:r>
      <w:r w:rsidRPr="00E6245E">
        <w:rPr>
          <w:i/>
        </w:rPr>
        <w:t xml:space="preserve">, ale nie </w:t>
      </w:r>
      <w:proofErr w:type="gramStart"/>
      <w:r>
        <w:rPr>
          <w:i/>
        </w:rPr>
        <w:t>wiedz</w:t>
      </w:r>
      <w:r w:rsidR="00795AA4">
        <w:rPr>
          <w:i/>
        </w:rPr>
        <w:t>ą</w:t>
      </w:r>
      <w:r w:rsidRPr="00E6245E">
        <w:rPr>
          <w:i/>
        </w:rPr>
        <w:t xml:space="preserve"> </w:t>
      </w:r>
      <w:r w:rsidR="00681F07">
        <w:rPr>
          <w:i/>
        </w:rPr>
        <w:t>w jaki</w:t>
      </w:r>
      <w:proofErr w:type="gramEnd"/>
      <w:r w:rsidR="00681F07">
        <w:rPr>
          <w:i/>
        </w:rPr>
        <w:t xml:space="preserve"> sposób to robić</w:t>
      </w:r>
      <w:r w:rsidRPr="00E6245E">
        <w:rPr>
          <w:i/>
        </w:rPr>
        <w:t xml:space="preserve">. </w:t>
      </w:r>
      <w:r w:rsidR="00681F07">
        <w:rPr>
          <w:i/>
        </w:rPr>
        <w:t>Zauważalny jest brak wiedzy oraz brak środków finansowych</w:t>
      </w:r>
      <w:r w:rsidRPr="00E6245E">
        <w:rPr>
          <w:i/>
        </w:rPr>
        <w:t xml:space="preserve">. Również władze lokalne, </w:t>
      </w:r>
      <w:r w:rsidR="00681F07">
        <w:rPr>
          <w:i/>
        </w:rPr>
        <w:t>w tym</w:t>
      </w:r>
      <w:r w:rsidRPr="00E6245E">
        <w:rPr>
          <w:i/>
        </w:rPr>
        <w:t xml:space="preserve"> gminy, nie </w:t>
      </w:r>
      <w:r w:rsidR="00681F07">
        <w:rPr>
          <w:i/>
        </w:rPr>
        <w:t>są pomocne w tej kwestii</w:t>
      </w:r>
      <w:r w:rsidRPr="00E6245E">
        <w:rPr>
          <w:i/>
        </w:rPr>
        <w:t xml:space="preserve">, </w:t>
      </w:r>
      <w:r w:rsidR="00681F07">
        <w:rPr>
          <w:i/>
        </w:rPr>
        <w:t>ponieważ</w:t>
      </w:r>
      <w:r w:rsidRPr="00E6245E">
        <w:rPr>
          <w:i/>
        </w:rPr>
        <w:t xml:space="preserve"> przepisy </w:t>
      </w:r>
      <w:r w:rsidR="00681F07">
        <w:rPr>
          <w:i/>
        </w:rPr>
        <w:t>prawne nie pozwalają</w:t>
      </w:r>
      <w:r w:rsidR="00425B76">
        <w:rPr>
          <w:i/>
        </w:rPr>
        <w:t xml:space="preserve"> im</w:t>
      </w:r>
      <w:r w:rsidR="00681F07">
        <w:rPr>
          <w:i/>
        </w:rPr>
        <w:t xml:space="preserve"> i</w:t>
      </w:r>
      <w:r w:rsidRPr="00E6245E">
        <w:rPr>
          <w:i/>
        </w:rPr>
        <w:t xml:space="preserve">nterweniować lub nie </w:t>
      </w:r>
      <w:proofErr w:type="gramStart"/>
      <w:r w:rsidRPr="00E6245E">
        <w:rPr>
          <w:i/>
        </w:rPr>
        <w:t>wiedzą</w:t>
      </w:r>
      <w:r w:rsidR="00681F07">
        <w:rPr>
          <w:i/>
        </w:rPr>
        <w:t xml:space="preserve"> w jaki</w:t>
      </w:r>
      <w:proofErr w:type="gramEnd"/>
      <w:r w:rsidR="00681F07">
        <w:rPr>
          <w:i/>
        </w:rPr>
        <w:t xml:space="preserve"> sposób pomóc i gdzie </w:t>
      </w:r>
      <w:r w:rsidR="00425B76">
        <w:rPr>
          <w:i/>
        </w:rPr>
        <w:t>uzyskać</w:t>
      </w:r>
      <w:r w:rsidR="00681F07">
        <w:rPr>
          <w:i/>
        </w:rPr>
        <w:t xml:space="preserve"> wiedzę na ten temat…</w:t>
      </w:r>
      <w:r w:rsidRPr="00E6245E">
        <w:rPr>
          <w:i/>
        </w:rPr>
        <w:t xml:space="preserve"> "</w:t>
      </w:r>
    </w:p>
    <w:p w:rsidR="00E6245E" w:rsidRDefault="00E6245E" w:rsidP="00E6245E">
      <w:pPr>
        <w:jc w:val="both"/>
        <w:rPr>
          <w:i/>
        </w:rPr>
      </w:pPr>
      <w:r w:rsidRPr="00664318">
        <w:rPr>
          <w:b/>
          <w:i/>
        </w:rPr>
        <w:t xml:space="preserve">Bianca </w:t>
      </w:r>
      <w:proofErr w:type="spellStart"/>
      <w:r w:rsidRPr="00664318">
        <w:rPr>
          <w:b/>
          <w:i/>
        </w:rPr>
        <w:t>Cav</w:t>
      </w:r>
      <w:r w:rsidR="00425B76" w:rsidRPr="00664318">
        <w:rPr>
          <w:b/>
          <w:i/>
        </w:rPr>
        <w:t>icchi</w:t>
      </w:r>
      <w:proofErr w:type="spellEnd"/>
      <w:r w:rsidR="00425B76">
        <w:rPr>
          <w:i/>
        </w:rPr>
        <w:t xml:space="preserve">, Norweski Instytut Badań </w:t>
      </w:r>
      <w:proofErr w:type="spellStart"/>
      <w:r w:rsidR="00425B76">
        <w:rPr>
          <w:i/>
        </w:rPr>
        <w:t>B</w:t>
      </w:r>
      <w:r w:rsidRPr="00E6245E">
        <w:rPr>
          <w:i/>
        </w:rPr>
        <w:t>iogospodarki</w:t>
      </w:r>
      <w:proofErr w:type="spellEnd"/>
      <w:r w:rsidRPr="00E6245E">
        <w:rPr>
          <w:i/>
        </w:rPr>
        <w:t xml:space="preserve"> (NIBO)</w:t>
      </w:r>
    </w:p>
    <w:p w:rsidR="00425B76" w:rsidRDefault="00425B76" w:rsidP="00164188">
      <w:pPr>
        <w:spacing w:after="120"/>
        <w:jc w:val="both"/>
      </w:pPr>
      <w:r>
        <w:t>Konkluzją z powyższej dyskusji</w:t>
      </w:r>
      <w:r w:rsidRPr="00425B76">
        <w:t xml:space="preserve">, </w:t>
      </w:r>
      <w:r>
        <w:t>było stwierdzenie</w:t>
      </w:r>
      <w:r w:rsidRPr="00425B76">
        <w:t xml:space="preserve"> </w:t>
      </w:r>
      <w:r w:rsidRPr="00664318">
        <w:rPr>
          <w:b/>
        </w:rPr>
        <w:t>"krótka, czytelna i zaadresowana do konkretnej grupy odbiorców informacja jest bardziej przydatna niż długi raport"</w:t>
      </w:r>
      <w:r w:rsidRPr="00425B76">
        <w:t xml:space="preserve">. </w:t>
      </w:r>
      <w:r>
        <w:t>Rozważają</w:t>
      </w:r>
      <w:r w:rsidR="00791EB7">
        <w:t>c</w:t>
      </w:r>
      <w:r>
        <w:t xml:space="preserve"> ten aspekt</w:t>
      </w:r>
      <w:r w:rsidR="002B593E">
        <w:t xml:space="preserve"> członkowie </w:t>
      </w:r>
      <w:r w:rsidRPr="00425B76">
        <w:t>G</w:t>
      </w:r>
      <w:r w:rsidR="002B593E">
        <w:t>T</w:t>
      </w:r>
      <w:r w:rsidRPr="00425B76">
        <w:t xml:space="preserve"> zaproponowa</w:t>
      </w:r>
      <w:r>
        <w:t xml:space="preserve">li </w:t>
      </w:r>
      <w:r w:rsidRPr="00425B76">
        <w:t xml:space="preserve">różne pomysły </w:t>
      </w:r>
      <w:r>
        <w:t>dotyczące</w:t>
      </w:r>
      <w:r w:rsidRPr="00425B76">
        <w:t xml:space="preserve"> rodzaju </w:t>
      </w:r>
      <w:proofErr w:type="gramStart"/>
      <w:r w:rsidRPr="00425B76">
        <w:t>materiał</w:t>
      </w:r>
      <w:r>
        <w:t>ów</w:t>
      </w:r>
      <w:r w:rsidRPr="00425B76">
        <w:t xml:space="preserve"> </w:t>
      </w:r>
      <w:r>
        <w:t>jakie</w:t>
      </w:r>
      <w:proofErr w:type="gramEnd"/>
      <w:r>
        <w:t xml:space="preserve"> </w:t>
      </w:r>
      <w:r w:rsidRPr="00425B76">
        <w:t>mogą być użyteczne. Należą do nich:</w:t>
      </w:r>
    </w:p>
    <w:p w:rsidR="000357B6" w:rsidRDefault="00425B76" w:rsidP="00425B76">
      <w:pPr>
        <w:pStyle w:val="Akapitzlist"/>
        <w:numPr>
          <w:ilvl w:val="0"/>
          <w:numId w:val="3"/>
        </w:numPr>
        <w:jc w:val="both"/>
      </w:pPr>
      <w:r>
        <w:t>Zgromadzenie dostępnych informacji i zasobów</w:t>
      </w:r>
      <w:r w:rsidR="000C7AB1">
        <w:t>,</w:t>
      </w:r>
      <w:r>
        <w:t xml:space="preserve"> w t</w:t>
      </w:r>
      <w:r w:rsidR="000C7AB1">
        <w:t xml:space="preserve">aki </w:t>
      </w:r>
      <w:proofErr w:type="gramStart"/>
      <w:r w:rsidR="000C7AB1">
        <w:t>sposób aby</w:t>
      </w:r>
      <w:proofErr w:type="gramEnd"/>
      <w:r w:rsidR="000C7AB1">
        <w:t xml:space="preserve"> były one dostępne przez</w:t>
      </w:r>
      <w:r>
        <w:t xml:space="preserve"> </w:t>
      </w:r>
      <w:r w:rsidRPr="00664318">
        <w:rPr>
          <w:b/>
        </w:rPr>
        <w:t>stron</w:t>
      </w:r>
      <w:r w:rsidR="000C7AB1">
        <w:rPr>
          <w:b/>
        </w:rPr>
        <w:t>ę</w:t>
      </w:r>
      <w:r w:rsidRPr="00664318">
        <w:rPr>
          <w:b/>
        </w:rPr>
        <w:t xml:space="preserve"> internetow</w:t>
      </w:r>
      <w:r w:rsidR="000C7AB1">
        <w:rPr>
          <w:b/>
        </w:rPr>
        <w:t>ą</w:t>
      </w:r>
      <w:r w:rsidRPr="00664318">
        <w:rPr>
          <w:b/>
        </w:rPr>
        <w:t xml:space="preserve"> ENRD</w:t>
      </w:r>
      <w:r>
        <w:t xml:space="preserve">. Informacje i zasoby powinny zostać zgromadzone w formie portalu internetowego nt. efektywnego korzystania z zasobów w kontekście </w:t>
      </w:r>
      <w:r w:rsidR="000357B6">
        <w:t>działań</w:t>
      </w:r>
      <w:r>
        <w:t xml:space="preserve"> PROW. </w:t>
      </w:r>
      <w:r w:rsidR="000357B6">
        <w:t xml:space="preserve">Portal powinien zawierać </w:t>
      </w:r>
      <w:r>
        <w:t xml:space="preserve">stronę startową </w:t>
      </w:r>
      <w:r w:rsidR="000357B6">
        <w:t xml:space="preserve">w formie mapy </w:t>
      </w:r>
      <w:r>
        <w:t xml:space="preserve">z linkami do istniejących </w:t>
      </w:r>
      <w:r w:rsidR="000C7AB1">
        <w:t>danych</w:t>
      </w:r>
      <w:r>
        <w:t xml:space="preserve">, przykładów i </w:t>
      </w:r>
      <w:r w:rsidR="000C7AB1">
        <w:t>porad</w:t>
      </w:r>
      <w:r>
        <w:t>;</w:t>
      </w:r>
    </w:p>
    <w:p w:rsidR="00A94E99" w:rsidRDefault="000357B6" w:rsidP="00425B76">
      <w:pPr>
        <w:pStyle w:val="Akapitzlist"/>
        <w:numPr>
          <w:ilvl w:val="0"/>
          <w:numId w:val="3"/>
        </w:numPr>
        <w:jc w:val="both"/>
      </w:pPr>
      <w:r w:rsidRPr="00664318">
        <w:rPr>
          <w:b/>
        </w:rPr>
        <w:t>A</w:t>
      </w:r>
      <w:r w:rsidR="00425B76" w:rsidRPr="00664318">
        <w:rPr>
          <w:b/>
        </w:rPr>
        <w:t>rkusz</w:t>
      </w:r>
      <w:r w:rsidR="000C7AB1">
        <w:rPr>
          <w:b/>
        </w:rPr>
        <w:t>e danych</w:t>
      </w:r>
      <w:r w:rsidR="00425B76" w:rsidRPr="00664318">
        <w:rPr>
          <w:b/>
        </w:rPr>
        <w:t xml:space="preserve">, </w:t>
      </w:r>
      <w:r w:rsidRPr="00664318">
        <w:rPr>
          <w:b/>
        </w:rPr>
        <w:t>poradniki</w:t>
      </w:r>
      <w:r>
        <w:t xml:space="preserve"> </w:t>
      </w:r>
      <w:r w:rsidR="00425B76">
        <w:t xml:space="preserve">i </w:t>
      </w:r>
      <w:r w:rsidR="00425B76" w:rsidRPr="00664318">
        <w:rPr>
          <w:b/>
        </w:rPr>
        <w:t>listy kontrolne</w:t>
      </w:r>
      <w:r w:rsidR="00425B76">
        <w:t xml:space="preserve"> dotyczące konkretnych tematów, takich jak p</w:t>
      </w:r>
      <w:r w:rsidR="00A94E99">
        <w:t>oprawa</w:t>
      </w:r>
      <w:r w:rsidR="00425B76">
        <w:t xml:space="preserve"> </w:t>
      </w:r>
      <w:r w:rsidR="00A94E99">
        <w:t>motywacji</w:t>
      </w:r>
      <w:r w:rsidR="00425B76">
        <w:t xml:space="preserve"> rolników, które mogłyby zostać wykorzystane przez instytucje zarządzające lub os</w:t>
      </w:r>
      <w:r w:rsidR="00795AA4">
        <w:t>o</w:t>
      </w:r>
      <w:r w:rsidR="00425B76">
        <w:t>b</w:t>
      </w:r>
      <w:r w:rsidR="00795AA4">
        <w:t>y</w:t>
      </w:r>
      <w:r w:rsidR="00425B76">
        <w:t xml:space="preserve"> odpowiedzialn</w:t>
      </w:r>
      <w:r w:rsidR="000C7AB1">
        <w:t>e</w:t>
      </w:r>
      <w:r w:rsidR="00425B76">
        <w:t xml:space="preserve"> za </w:t>
      </w:r>
      <w:r w:rsidR="00A94E99">
        <w:t>działania prowadzone w ramach PROW</w:t>
      </w:r>
      <w:r w:rsidR="00425B76">
        <w:t>;</w:t>
      </w:r>
    </w:p>
    <w:p w:rsidR="004A7CA4" w:rsidRDefault="00A94E99" w:rsidP="00425B76">
      <w:pPr>
        <w:pStyle w:val="Akapitzlist"/>
        <w:numPr>
          <w:ilvl w:val="0"/>
          <w:numId w:val="3"/>
        </w:numPr>
        <w:jc w:val="both"/>
      </w:pPr>
      <w:r w:rsidRPr="00664318">
        <w:rPr>
          <w:b/>
        </w:rPr>
        <w:t>P</w:t>
      </w:r>
      <w:r w:rsidR="00425B76" w:rsidRPr="00664318">
        <w:rPr>
          <w:b/>
        </w:rPr>
        <w:t>rezentacje i inne materiały</w:t>
      </w:r>
      <w:r w:rsidRPr="00A94E99">
        <w:t xml:space="preserve"> </w:t>
      </w:r>
      <w:r>
        <w:t xml:space="preserve">dotyczące </w:t>
      </w:r>
      <w:r w:rsidRPr="00A94E99">
        <w:t>efektywnego wykorzystania zasobów</w:t>
      </w:r>
      <w:r w:rsidR="00425B76">
        <w:t xml:space="preserve">, które mogą być </w:t>
      </w:r>
      <w:r>
        <w:t xml:space="preserve">wykorzystane podczas prac nad </w:t>
      </w:r>
      <w:r w:rsidR="002B593E">
        <w:t xml:space="preserve">polityką </w:t>
      </w:r>
      <w:r>
        <w:t>rozwoj</w:t>
      </w:r>
      <w:r w:rsidR="002B593E">
        <w:t>u obszarów wiejskich</w:t>
      </w:r>
      <w:r w:rsidR="000C7AB1">
        <w:t>, zamieszczane</w:t>
      </w:r>
      <w:r>
        <w:t xml:space="preserve"> </w:t>
      </w:r>
      <w:r w:rsidR="00425B76">
        <w:t>w biuletynach</w:t>
      </w:r>
      <w:r>
        <w:t>, materiałach promocyjnych lub</w:t>
      </w:r>
      <w:r w:rsidR="00425B76">
        <w:t xml:space="preserve"> </w:t>
      </w:r>
      <w:r>
        <w:t>kolportowane do mediów</w:t>
      </w:r>
      <w:r w:rsidR="00425B76">
        <w:t xml:space="preserve"> przez członków G</w:t>
      </w:r>
      <w:r w:rsidR="002B593E">
        <w:t>T</w:t>
      </w:r>
      <w:r w:rsidR="00425B76">
        <w:t>;</w:t>
      </w:r>
    </w:p>
    <w:p w:rsidR="00425B76" w:rsidRDefault="00FE1721" w:rsidP="00425B76">
      <w:pPr>
        <w:pStyle w:val="Akapitzlist"/>
        <w:numPr>
          <w:ilvl w:val="0"/>
          <w:numId w:val="3"/>
        </w:numPr>
        <w:jc w:val="both"/>
      </w:pPr>
      <w:r>
        <w:t>Prezentowa</w:t>
      </w:r>
      <w:r w:rsidR="000C7AB1">
        <w:t>nie</w:t>
      </w:r>
      <w:r>
        <w:t xml:space="preserve"> temat</w:t>
      </w:r>
      <w:r w:rsidR="000C7AB1">
        <w:t>u</w:t>
      </w:r>
      <w:r>
        <w:t xml:space="preserve"> efektywnego wykorzystania zasobów oraz przykład</w:t>
      </w:r>
      <w:r w:rsidR="000C7AB1">
        <w:t>ów</w:t>
      </w:r>
      <w:r>
        <w:t xml:space="preserve"> dobrych praktyk </w:t>
      </w:r>
      <w:r w:rsidR="000C7AB1">
        <w:t>przy pomocy</w:t>
      </w:r>
      <w:r>
        <w:t xml:space="preserve"> </w:t>
      </w:r>
      <w:r w:rsidRPr="00664318">
        <w:rPr>
          <w:b/>
        </w:rPr>
        <w:t>film</w:t>
      </w:r>
      <w:r w:rsidR="000C7AB1">
        <w:rPr>
          <w:b/>
        </w:rPr>
        <w:t>ów</w:t>
      </w:r>
      <w:r w:rsidRPr="00664318">
        <w:rPr>
          <w:b/>
        </w:rPr>
        <w:t xml:space="preserve"> w</w:t>
      </w:r>
      <w:r w:rsidR="00425B76" w:rsidRPr="00664318">
        <w:rPr>
          <w:b/>
        </w:rPr>
        <w:t>ideo</w:t>
      </w:r>
      <w:r w:rsidR="00425B76">
        <w:t xml:space="preserve"> </w:t>
      </w:r>
      <w:r>
        <w:t xml:space="preserve">oraz </w:t>
      </w:r>
      <w:r w:rsidRPr="00664318">
        <w:rPr>
          <w:b/>
        </w:rPr>
        <w:t>innego rodzaju środk</w:t>
      </w:r>
      <w:r w:rsidR="000C7AB1">
        <w:rPr>
          <w:b/>
        </w:rPr>
        <w:t>ów</w:t>
      </w:r>
      <w:r w:rsidRPr="00664318">
        <w:rPr>
          <w:b/>
        </w:rPr>
        <w:t xml:space="preserve"> przekazu</w:t>
      </w:r>
      <w:r w:rsidR="00425B76">
        <w:t xml:space="preserve">, </w:t>
      </w:r>
      <w:r>
        <w:t>aby utrwalić właściwe podejście do tych zagadnień</w:t>
      </w:r>
      <w:r w:rsidR="000C7AB1">
        <w:t>,</w:t>
      </w:r>
      <w:r>
        <w:t xml:space="preserve"> wykorzystane później przy</w:t>
      </w:r>
      <w:r w:rsidR="00425B76">
        <w:t xml:space="preserve"> projektowani</w:t>
      </w:r>
      <w:r>
        <w:t>u i wdrażaniu</w:t>
      </w:r>
      <w:r w:rsidR="00425B76">
        <w:t xml:space="preserve"> PROW</w:t>
      </w:r>
      <w:r w:rsidR="002B593E">
        <w:t xml:space="preserve"> po 2020</w:t>
      </w:r>
      <w:r w:rsidR="00425B76">
        <w:t>.</w:t>
      </w:r>
    </w:p>
    <w:p w:rsidR="00FE1721" w:rsidRDefault="00FE1721" w:rsidP="00FE1721">
      <w:pPr>
        <w:jc w:val="both"/>
      </w:pPr>
      <w:r>
        <w:t>W miarę postępu pracy</w:t>
      </w:r>
      <w:r w:rsidR="002B593E">
        <w:t xml:space="preserve"> GT</w:t>
      </w:r>
      <w:r w:rsidR="000C7AB1">
        <w:t>,</w:t>
      </w:r>
      <w:r w:rsidRPr="00FE1721">
        <w:t xml:space="preserve"> </w:t>
      </w:r>
      <w:r>
        <w:t>w zależności od potrzeb</w:t>
      </w:r>
      <w:r w:rsidR="000C7AB1">
        <w:t>,</w:t>
      </w:r>
      <w:r>
        <w:t xml:space="preserve"> mogą zostać opracowane materiały również w innej formie.</w:t>
      </w:r>
    </w:p>
    <w:p w:rsidR="00FE1721" w:rsidRDefault="00CB611E" w:rsidP="00FE1721">
      <w:pPr>
        <w:jc w:val="both"/>
      </w:pPr>
      <w:r>
        <w:t xml:space="preserve">Powyższe działania podjęte przez </w:t>
      </w:r>
      <w:r w:rsidR="00FE1721">
        <w:t>G</w:t>
      </w:r>
      <w:r w:rsidR="002B593E">
        <w:t>T</w:t>
      </w:r>
      <w:r>
        <w:t xml:space="preserve"> dedykowane są przede wszystkim</w:t>
      </w:r>
      <w:r w:rsidR="00FE1721">
        <w:t xml:space="preserve"> </w:t>
      </w:r>
      <w:r w:rsidR="000C7AB1">
        <w:t xml:space="preserve">do </w:t>
      </w:r>
      <w:r w:rsidR="00FE1721">
        <w:t>os</w:t>
      </w:r>
      <w:r w:rsidR="000C7AB1">
        <w:t>ób</w:t>
      </w:r>
      <w:r>
        <w:t xml:space="preserve"> </w:t>
      </w:r>
      <w:r w:rsidR="00FE1721">
        <w:t>zaangażowan</w:t>
      </w:r>
      <w:r>
        <w:t>y</w:t>
      </w:r>
      <w:r w:rsidR="000C7AB1">
        <w:t>ch</w:t>
      </w:r>
      <w:r w:rsidR="00FE1721">
        <w:t xml:space="preserve"> w </w:t>
      </w:r>
      <w:r w:rsidR="002B593E">
        <w:t xml:space="preserve">opracowywanie </w:t>
      </w:r>
      <w:r w:rsidRPr="00CB611E">
        <w:t xml:space="preserve">i wdrażanie </w:t>
      </w:r>
      <w:r w:rsidR="002B593E">
        <w:t>PROW</w:t>
      </w:r>
      <w:r w:rsidR="00FE1721">
        <w:t xml:space="preserve">. </w:t>
      </w:r>
      <w:r w:rsidR="00D04D4B">
        <w:t>Wskazane jest udost</w:t>
      </w:r>
      <w:r w:rsidR="002B593E">
        <w:t>ę</w:t>
      </w:r>
      <w:r w:rsidR="00D04D4B">
        <w:t>pnienie części</w:t>
      </w:r>
      <w:r w:rsidR="00FE1721">
        <w:t xml:space="preserve"> materiałów </w:t>
      </w:r>
      <w:r w:rsidR="00D04D4B">
        <w:t xml:space="preserve">opracowanych przez </w:t>
      </w:r>
      <w:r w:rsidR="00FE1721">
        <w:t>G</w:t>
      </w:r>
      <w:r w:rsidR="002B593E">
        <w:t>T</w:t>
      </w:r>
      <w:r w:rsidR="00FE1721">
        <w:t xml:space="preserve"> </w:t>
      </w:r>
      <w:r w:rsidR="000C7AB1">
        <w:t xml:space="preserve">również </w:t>
      </w:r>
      <w:r w:rsidR="00FE1721">
        <w:t>beneficjent</w:t>
      </w:r>
      <w:r w:rsidR="00D04D4B">
        <w:t>om</w:t>
      </w:r>
      <w:r w:rsidR="00FE1721">
        <w:t xml:space="preserve">, którzy </w:t>
      </w:r>
      <w:r w:rsidR="00D04D4B">
        <w:t>chcieliby</w:t>
      </w:r>
      <w:r w:rsidR="00FE1721">
        <w:t xml:space="preserve"> </w:t>
      </w:r>
      <w:r w:rsidR="00D04D4B">
        <w:t>do</w:t>
      </w:r>
      <w:r w:rsidR="00FE1721">
        <w:t>wiedzieć</w:t>
      </w:r>
      <w:r w:rsidR="00D04D4B">
        <w:t xml:space="preserve"> się</w:t>
      </w:r>
      <w:r w:rsidR="00FE1721">
        <w:t xml:space="preserve"> więcej na</w:t>
      </w:r>
      <w:r w:rsidR="00D04D4B">
        <w:t xml:space="preserve"> </w:t>
      </w:r>
      <w:r w:rsidR="000C7AB1">
        <w:t xml:space="preserve">temat </w:t>
      </w:r>
      <w:r w:rsidR="00D04D4B">
        <w:t>sposobów</w:t>
      </w:r>
      <w:r w:rsidR="00FE1721">
        <w:t xml:space="preserve"> poprawy efektywności wykorzystania zasobów i </w:t>
      </w:r>
      <w:r w:rsidR="00D04D4B">
        <w:t xml:space="preserve">przyczynić </w:t>
      </w:r>
      <w:r w:rsidR="000C7AB1">
        <w:t xml:space="preserve">się </w:t>
      </w:r>
      <w:r w:rsidR="00D04D4B">
        <w:t xml:space="preserve">do </w:t>
      </w:r>
      <w:r w:rsidR="00795AA4">
        <w:t xml:space="preserve">osiągnięcia </w:t>
      </w:r>
      <w:r w:rsidR="00D04D4B">
        <w:t>pozytywnych efektów w tym zakresie</w:t>
      </w:r>
      <w:r w:rsidR="000C7AB1">
        <w:t>,</w:t>
      </w:r>
      <w:r w:rsidR="00D04D4B">
        <w:t xml:space="preserve"> na równi z innymi interesariuszami zainteresowanymi tematem </w:t>
      </w:r>
      <w:r w:rsidR="00D04D4B" w:rsidRPr="00D04D4B">
        <w:t>efe</w:t>
      </w:r>
      <w:r w:rsidR="000C7AB1">
        <w:t>ktywności wykorzystania zasobów</w:t>
      </w:r>
      <w:r w:rsidR="00D04D4B">
        <w:t xml:space="preserve"> realizowanym w ramach</w:t>
      </w:r>
      <w:r w:rsidR="00FE1721">
        <w:t xml:space="preserve"> PROW. </w:t>
      </w:r>
      <w:r w:rsidR="00D04D4B">
        <w:t>Z tego względu materiały zostaną przygotowane w przystępnej formie tak</w:t>
      </w:r>
      <w:r w:rsidR="000C7AB1">
        <w:t>,</w:t>
      </w:r>
      <w:r w:rsidR="00D04D4B">
        <w:t xml:space="preserve"> aby </w:t>
      </w:r>
      <w:r w:rsidR="00593D83">
        <w:t xml:space="preserve">mógł z nich </w:t>
      </w:r>
      <w:r w:rsidR="00D04D4B">
        <w:t>korzystać szeroki krąg odbiorców.</w:t>
      </w:r>
    </w:p>
    <w:p w:rsidR="00120169" w:rsidRDefault="00120169" w:rsidP="00FE1721">
      <w:pPr>
        <w:jc w:val="both"/>
      </w:pPr>
    </w:p>
    <w:p w:rsidR="00E06E24" w:rsidRDefault="00120169" w:rsidP="0012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pracowa</w:t>
      </w:r>
      <w:r>
        <w:rPr>
          <w:rFonts w:ascii="Times New Roman" w:hAnsi="Times New Roman" w:cs="Times New Roman"/>
          <w:sz w:val="24"/>
          <w:szCs w:val="24"/>
        </w:rPr>
        <w:t>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69" w:rsidRDefault="00120169" w:rsidP="0012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Frątczak</w:t>
      </w:r>
    </w:p>
    <w:p w:rsidR="00120169" w:rsidRDefault="00120169" w:rsidP="00120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</w:t>
      </w:r>
      <w:r w:rsidR="00E06E24">
        <w:rPr>
          <w:rFonts w:ascii="Times New Roman" w:hAnsi="Times New Roman" w:cs="Times New Roman"/>
          <w:sz w:val="24"/>
          <w:szCs w:val="24"/>
        </w:rPr>
        <w:t>lanowania Gospodarowania Wodami</w:t>
      </w:r>
      <w:bookmarkStart w:id="0" w:name="_GoBack"/>
      <w:bookmarkEnd w:id="0"/>
    </w:p>
    <w:p w:rsidR="00120169" w:rsidRDefault="00120169" w:rsidP="0012016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Regionaln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Zarząd Gospodarki Wodnej w Warszawie</w:t>
      </w:r>
    </w:p>
    <w:sectPr w:rsidR="00120169" w:rsidSect="007819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99A"/>
    <w:multiLevelType w:val="hybridMultilevel"/>
    <w:tmpl w:val="6B08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B4B"/>
    <w:multiLevelType w:val="hybridMultilevel"/>
    <w:tmpl w:val="97BC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78B8"/>
    <w:multiLevelType w:val="hybridMultilevel"/>
    <w:tmpl w:val="DAB6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25A8"/>
    <w:multiLevelType w:val="hybridMultilevel"/>
    <w:tmpl w:val="C27C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479B4"/>
    <w:multiLevelType w:val="hybridMultilevel"/>
    <w:tmpl w:val="1E88A670"/>
    <w:lvl w:ilvl="0" w:tplc="A1E2C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6F0"/>
    <w:rsid w:val="000357B6"/>
    <w:rsid w:val="0007781F"/>
    <w:rsid w:val="00086C1E"/>
    <w:rsid w:val="000C7AB1"/>
    <w:rsid w:val="000E612F"/>
    <w:rsid w:val="001124C0"/>
    <w:rsid w:val="00115FB0"/>
    <w:rsid w:val="00120169"/>
    <w:rsid w:val="00125F3F"/>
    <w:rsid w:val="00164188"/>
    <w:rsid w:val="001676A3"/>
    <w:rsid w:val="00182AB8"/>
    <w:rsid w:val="001B26B9"/>
    <w:rsid w:val="001E5DB0"/>
    <w:rsid w:val="00207051"/>
    <w:rsid w:val="00263657"/>
    <w:rsid w:val="00263A00"/>
    <w:rsid w:val="002827F7"/>
    <w:rsid w:val="002B593E"/>
    <w:rsid w:val="002D1928"/>
    <w:rsid w:val="002D6A8D"/>
    <w:rsid w:val="002E174F"/>
    <w:rsid w:val="002F4229"/>
    <w:rsid w:val="003534F7"/>
    <w:rsid w:val="0035688E"/>
    <w:rsid w:val="00371A8B"/>
    <w:rsid w:val="003E3626"/>
    <w:rsid w:val="003F5254"/>
    <w:rsid w:val="00415187"/>
    <w:rsid w:val="00425B76"/>
    <w:rsid w:val="00433797"/>
    <w:rsid w:val="00437321"/>
    <w:rsid w:val="0044627B"/>
    <w:rsid w:val="00451330"/>
    <w:rsid w:val="0045457C"/>
    <w:rsid w:val="004856F8"/>
    <w:rsid w:val="00485C52"/>
    <w:rsid w:val="00495E60"/>
    <w:rsid w:val="004A3202"/>
    <w:rsid w:val="004A7CA4"/>
    <w:rsid w:val="004D081A"/>
    <w:rsid w:val="004E68BF"/>
    <w:rsid w:val="00506F20"/>
    <w:rsid w:val="00524DA3"/>
    <w:rsid w:val="00586341"/>
    <w:rsid w:val="00593D83"/>
    <w:rsid w:val="0059690E"/>
    <w:rsid w:val="005C52E6"/>
    <w:rsid w:val="00605CA0"/>
    <w:rsid w:val="006215BB"/>
    <w:rsid w:val="00662464"/>
    <w:rsid w:val="00664318"/>
    <w:rsid w:val="00681F07"/>
    <w:rsid w:val="0068402D"/>
    <w:rsid w:val="0068451C"/>
    <w:rsid w:val="0069743B"/>
    <w:rsid w:val="006A58E1"/>
    <w:rsid w:val="006B48A7"/>
    <w:rsid w:val="006D2603"/>
    <w:rsid w:val="0070535C"/>
    <w:rsid w:val="00740A13"/>
    <w:rsid w:val="00781434"/>
    <w:rsid w:val="0078194E"/>
    <w:rsid w:val="00791EB7"/>
    <w:rsid w:val="00794E02"/>
    <w:rsid w:val="00795AA4"/>
    <w:rsid w:val="007A5105"/>
    <w:rsid w:val="007C681F"/>
    <w:rsid w:val="00810E58"/>
    <w:rsid w:val="00822925"/>
    <w:rsid w:val="008423C3"/>
    <w:rsid w:val="00866BC3"/>
    <w:rsid w:val="008D5012"/>
    <w:rsid w:val="008F4B87"/>
    <w:rsid w:val="0090011D"/>
    <w:rsid w:val="00907399"/>
    <w:rsid w:val="00913438"/>
    <w:rsid w:val="00922877"/>
    <w:rsid w:val="00930069"/>
    <w:rsid w:val="009341FE"/>
    <w:rsid w:val="0093497F"/>
    <w:rsid w:val="00972790"/>
    <w:rsid w:val="00977CCB"/>
    <w:rsid w:val="0098123B"/>
    <w:rsid w:val="009A4145"/>
    <w:rsid w:val="009B2C04"/>
    <w:rsid w:val="009E2829"/>
    <w:rsid w:val="009F73E6"/>
    <w:rsid w:val="00A05D53"/>
    <w:rsid w:val="00A60DA8"/>
    <w:rsid w:val="00A744EB"/>
    <w:rsid w:val="00A76D89"/>
    <w:rsid w:val="00A81134"/>
    <w:rsid w:val="00A94E99"/>
    <w:rsid w:val="00AA492A"/>
    <w:rsid w:val="00AF0F9E"/>
    <w:rsid w:val="00B8061E"/>
    <w:rsid w:val="00B80AAA"/>
    <w:rsid w:val="00B86F25"/>
    <w:rsid w:val="00BF3DEA"/>
    <w:rsid w:val="00C276EC"/>
    <w:rsid w:val="00C5712C"/>
    <w:rsid w:val="00C70245"/>
    <w:rsid w:val="00C81487"/>
    <w:rsid w:val="00CB611E"/>
    <w:rsid w:val="00CC03DE"/>
    <w:rsid w:val="00CC601B"/>
    <w:rsid w:val="00CC65D4"/>
    <w:rsid w:val="00CC7F4B"/>
    <w:rsid w:val="00CD7B4F"/>
    <w:rsid w:val="00D04D4B"/>
    <w:rsid w:val="00D10E9F"/>
    <w:rsid w:val="00D52DC0"/>
    <w:rsid w:val="00D7284E"/>
    <w:rsid w:val="00DA2998"/>
    <w:rsid w:val="00DB02F4"/>
    <w:rsid w:val="00DC013C"/>
    <w:rsid w:val="00E03315"/>
    <w:rsid w:val="00E06E24"/>
    <w:rsid w:val="00E437B0"/>
    <w:rsid w:val="00E6245E"/>
    <w:rsid w:val="00EC2D33"/>
    <w:rsid w:val="00ED24C3"/>
    <w:rsid w:val="00F103D0"/>
    <w:rsid w:val="00F63A74"/>
    <w:rsid w:val="00F856F0"/>
    <w:rsid w:val="00FA5684"/>
    <w:rsid w:val="00FB79A1"/>
    <w:rsid w:val="00FE1721"/>
    <w:rsid w:val="00FF4A7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6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F2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B86F25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B79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rd.ec.europa.eu/news-events/events/2nd-meeting-thematic-group-'resource-efficient-ruraleconomy'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ro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2294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Rutkowska-Filipczak</dc:creator>
  <cp:lastModifiedBy>Agata Markuszewska</cp:lastModifiedBy>
  <cp:revision>9</cp:revision>
  <dcterms:created xsi:type="dcterms:W3CDTF">2017-03-14T08:28:00Z</dcterms:created>
  <dcterms:modified xsi:type="dcterms:W3CDTF">2017-04-06T11:08:00Z</dcterms:modified>
</cp:coreProperties>
</file>