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2A46" w14:textId="77777777" w:rsidR="002E52BD" w:rsidRPr="00DC0BFF" w:rsidRDefault="002E52BD" w:rsidP="002E52BD">
      <w:pPr>
        <w:spacing w:before="120" w:after="120"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 xml:space="preserve">Załącznik: </w:t>
      </w:r>
      <w:r w:rsidRPr="00DC0BFF">
        <w:rPr>
          <w:rFonts w:ascii="Times New Roman" w:hAnsi="Times New Roman"/>
          <w:b/>
          <w:bCs/>
        </w:rPr>
        <w:t xml:space="preserve">Szczegółowe wymogi dotyczące realizacji poszczególnych </w:t>
      </w:r>
      <w:r w:rsidR="00194963">
        <w:rPr>
          <w:rFonts w:ascii="Times New Roman" w:hAnsi="Times New Roman"/>
          <w:b/>
          <w:bCs/>
        </w:rPr>
        <w:t xml:space="preserve">proponowanych </w:t>
      </w:r>
      <w:r w:rsidRPr="00DC0BFF">
        <w:rPr>
          <w:rFonts w:ascii="Times New Roman" w:hAnsi="Times New Roman"/>
          <w:b/>
          <w:bCs/>
        </w:rPr>
        <w:t xml:space="preserve">praktyk w ramach </w:t>
      </w:r>
      <w:proofErr w:type="spellStart"/>
      <w:r w:rsidRPr="00DC0BFF">
        <w:rPr>
          <w:rFonts w:ascii="Times New Roman" w:hAnsi="Times New Roman"/>
          <w:b/>
          <w:bCs/>
        </w:rPr>
        <w:t>ekoschematów</w:t>
      </w:r>
      <w:proofErr w:type="spellEnd"/>
      <w:r w:rsidRPr="00DC0BFF">
        <w:rPr>
          <w:rFonts w:ascii="Times New Roman" w:hAnsi="Times New Roman"/>
          <w:b/>
          <w:bCs/>
        </w:rPr>
        <w:t xml:space="preserve"> </w:t>
      </w:r>
    </w:p>
    <w:p w14:paraId="26A06D70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3932964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Obszary z roślinami miododajnymi</w:t>
      </w:r>
    </w:p>
    <w:p w14:paraId="6FA7DB02" w14:textId="77777777" w:rsidR="002E52BD" w:rsidRPr="00DC0BFF" w:rsidRDefault="002E52BD" w:rsidP="002E52BD">
      <w:pPr>
        <w:numPr>
          <w:ilvl w:val="0"/>
          <w:numId w:val="3"/>
        </w:numPr>
        <w:spacing w:before="120" w:after="120"/>
        <w:contextualSpacing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 xml:space="preserve">Wysiew mieszanki składającej się z co najmniej dwóch gatunków roślin miododajnych z określonej listy, przy czym gatunki typowo uprawne mogą być wysiewane wyłącznie w mieszance </w:t>
      </w:r>
      <w:r w:rsidRPr="00DC0BFF">
        <w:rPr>
          <w:rFonts w:ascii="Times New Roman" w:hAnsi="Times New Roman"/>
        </w:rPr>
        <w:br/>
        <w:t>z pozostałymi (nieuprawnymi) gatunkami roślin i nie mogą dominować w mieszance</w:t>
      </w:r>
      <w:r w:rsidRPr="00DC0BFF">
        <w:rPr>
          <w:rFonts w:ascii="Times New Roman" w:hAnsi="Times New Roman"/>
          <w:vertAlign w:val="superscript"/>
        </w:rPr>
        <w:footnoteReference w:id="1"/>
      </w:r>
      <w:r w:rsidRPr="00DC0BFF">
        <w:rPr>
          <w:rFonts w:ascii="Times New Roman" w:hAnsi="Times New Roman"/>
        </w:rPr>
        <w:t>.</w:t>
      </w:r>
    </w:p>
    <w:p w14:paraId="1589DB55" w14:textId="77777777" w:rsidR="002E52BD" w:rsidRPr="00DC0BFF" w:rsidRDefault="002E52BD" w:rsidP="002E52BD">
      <w:pPr>
        <w:numPr>
          <w:ilvl w:val="0"/>
          <w:numId w:val="3"/>
        </w:numPr>
        <w:spacing w:before="120" w:after="120"/>
        <w:contextualSpacing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>Zakaz prowadzenia produkcji rolnej (w tym zakaz wypasu i koszenia) w terminie do 30 września;</w:t>
      </w:r>
      <w:r w:rsidRPr="00DC0BFF">
        <w:rPr>
          <w:rFonts w:ascii="Times New Roman" w:hAnsi="Times New Roman"/>
          <w:lang w:eastAsia="pl-PL"/>
        </w:rPr>
        <w:t xml:space="preserve"> </w:t>
      </w:r>
      <w:r w:rsidRPr="00DC0BFF">
        <w:rPr>
          <w:rFonts w:ascii="Times New Roman" w:hAnsi="Times New Roman"/>
        </w:rPr>
        <w:t>zakaz stosowania środków ochrony roślin.</w:t>
      </w:r>
    </w:p>
    <w:p w14:paraId="64B00C3E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Zimowe pożytki dla ptaków</w:t>
      </w:r>
    </w:p>
    <w:p w14:paraId="50D2817C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Wysiew we wsiewce, wraz ze zbożem jarym, przynajmniej dwóch gatunków roślin stanowiących źródło pokarmu i miejsce schronienia dla ptaków w okresie jesienno-zimowym, w tym m.in. takich gatunków jak len, komosa ryżowej, rzepak, jarmuż w określonej ilości. </w:t>
      </w:r>
    </w:p>
    <w:p w14:paraId="36BE5F85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Pozostawienie zboża wraz ze wsiewkami na polu na okres jesienno-zimowy do luty/marzec następnego roku. </w:t>
      </w:r>
    </w:p>
    <w:p w14:paraId="40633341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Zakaz stosowana środków ochrony roślin po wysiewie roślin. </w:t>
      </w:r>
    </w:p>
    <w:p w14:paraId="38B21875" w14:textId="77777777" w:rsidR="002E52BD" w:rsidRPr="00DC0BFF" w:rsidRDefault="002E52BD" w:rsidP="002E52BD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DC0BFF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Mikrosiedliska ptaków w uprawach zbożowych – Luki skowronkowe </w:t>
      </w:r>
    </w:p>
    <w:p w14:paraId="23612429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>utworzenie i utrzymanie luk w uprawie zboża ozimego, o powierzchni co najmniej 20 – 25 m</w:t>
      </w:r>
      <w:r w:rsidRPr="00DC0BFF">
        <w:rPr>
          <w:rFonts w:ascii="Times New Roman" w:hAnsi="Times New Roman" w:cs="Times New Roman"/>
          <w:color w:val="000000"/>
          <w:vertAlign w:val="superscript"/>
        </w:rPr>
        <w:t>2</w:t>
      </w:r>
      <w:r w:rsidRPr="00DC0BFF">
        <w:rPr>
          <w:rFonts w:ascii="Times New Roman" w:hAnsi="Times New Roman" w:cs="Times New Roman"/>
          <w:color w:val="000000"/>
        </w:rPr>
        <w:t xml:space="preserve">, poprzez wyłączenie i podniesienie siewnika, </w:t>
      </w:r>
    </w:p>
    <w:p w14:paraId="60B502B2" w14:textId="77777777" w:rsidR="002E52BD" w:rsidRPr="00DC0BFF" w:rsidRDefault="002E52BD" w:rsidP="002E5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C0BFF">
        <w:rPr>
          <w:rFonts w:ascii="Times New Roman" w:hAnsi="Times New Roman" w:cs="Times New Roman"/>
          <w:color w:val="000000"/>
        </w:rPr>
        <w:t xml:space="preserve">utworzenie co najmniej jednej luki, na każde rozpoczęte 0,5 ha uprawy. </w:t>
      </w:r>
    </w:p>
    <w:p w14:paraId="1B3563A6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Ekstensywny wypas na TUZ z obsadą zwierząt</w:t>
      </w:r>
    </w:p>
    <w:p w14:paraId="6A3C89E1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Obsada zwierząt trawożernych (bydło, kozy, owce, konie) wynosi co najmniej 0,3 DJP/ha TUZ </w:t>
      </w:r>
      <w:r w:rsidRPr="00DC0BFF">
        <w:rPr>
          <w:rFonts w:ascii="Times New Roman" w:hAnsi="Times New Roman" w:cs="Times New Roman"/>
        </w:rPr>
        <w:br/>
        <w:t>i maksymalnie 2 DJP/ha TUZ.</w:t>
      </w:r>
    </w:p>
    <w:p w14:paraId="2F826DE2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Międzyplony ozime</w:t>
      </w:r>
    </w:p>
    <w:p w14:paraId="39BE3538" w14:textId="77777777" w:rsidR="002E52BD" w:rsidRPr="00DC0BFF" w:rsidRDefault="002E52BD" w:rsidP="002E52B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Utrzymanie międzyplonu ozimego w terminie co najmniej od dnia 1 października do 15 lutego; dopuszcza się mulczowanie w okresie utrzymania;</w:t>
      </w:r>
    </w:p>
    <w:p w14:paraId="510C6F13" w14:textId="77777777" w:rsidR="002E52BD" w:rsidRPr="00DC0BFF" w:rsidRDefault="002E52BD" w:rsidP="002E52B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Zakaz stosowania środków ochrony roślin przez okres utrzymania międzyplonu ozimego;</w:t>
      </w:r>
    </w:p>
    <w:p w14:paraId="650DFB8D" w14:textId="77777777" w:rsidR="002E52BD" w:rsidRPr="00DC0BFF" w:rsidRDefault="002E52BD" w:rsidP="002E52B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Po okresie utrzymania międzyplonu ozimego, obowiązek jego przykrycia/wymieszania (przyoranie, podorywka, talerzowanie, inne).</w:t>
      </w:r>
    </w:p>
    <w:p w14:paraId="64782D48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Wsiewki śródplonowe</w:t>
      </w:r>
    </w:p>
    <w:p w14:paraId="716E13EC" w14:textId="77777777" w:rsidR="002E52BD" w:rsidRPr="00DC0BFF" w:rsidRDefault="002E52BD" w:rsidP="002E52B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Wysiew traw lub roślin </w:t>
      </w:r>
      <w:proofErr w:type="spellStart"/>
      <w:r w:rsidRPr="00DC0BFF">
        <w:rPr>
          <w:rFonts w:ascii="Times New Roman" w:hAnsi="Times New Roman" w:cs="Times New Roman"/>
        </w:rPr>
        <w:t>bobowatych</w:t>
      </w:r>
      <w:proofErr w:type="spellEnd"/>
      <w:r w:rsidRPr="00DC0BFF">
        <w:rPr>
          <w:rFonts w:ascii="Times New Roman" w:hAnsi="Times New Roman" w:cs="Times New Roman"/>
        </w:rPr>
        <w:t xml:space="preserve"> drobnonasiennych (w tym mieszanek traw z </w:t>
      </w:r>
      <w:proofErr w:type="spellStart"/>
      <w:r w:rsidRPr="00DC0BFF">
        <w:rPr>
          <w:rFonts w:ascii="Times New Roman" w:hAnsi="Times New Roman" w:cs="Times New Roman"/>
        </w:rPr>
        <w:t>bobowatymi</w:t>
      </w:r>
      <w:proofErr w:type="spellEnd"/>
      <w:r w:rsidRPr="00DC0BFF">
        <w:rPr>
          <w:rFonts w:ascii="Times New Roman" w:hAnsi="Times New Roman" w:cs="Times New Roman"/>
        </w:rPr>
        <w:t xml:space="preserve"> drobnonasiennymi oraz mieszanek </w:t>
      </w:r>
      <w:proofErr w:type="spellStart"/>
      <w:r w:rsidRPr="00DC0BFF">
        <w:rPr>
          <w:rFonts w:ascii="Times New Roman" w:hAnsi="Times New Roman" w:cs="Times New Roman"/>
        </w:rPr>
        <w:t>bobowatych</w:t>
      </w:r>
      <w:proofErr w:type="spellEnd"/>
      <w:r w:rsidRPr="00DC0BFF">
        <w:rPr>
          <w:rFonts w:ascii="Times New Roman" w:hAnsi="Times New Roman" w:cs="Times New Roman"/>
        </w:rPr>
        <w:t xml:space="preserve"> drobnonasiennych) w uprawę główną. </w:t>
      </w:r>
    </w:p>
    <w:p w14:paraId="26FF2CBD" w14:textId="77777777" w:rsidR="002E52BD" w:rsidRPr="00DC0BFF" w:rsidRDefault="002E52BD" w:rsidP="002E52B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Termin wysiewu: w terminie wysiewu uprawy jarej lub wiosną w rosnącą roślinę ozimą. </w:t>
      </w:r>
    </w:p>
    <w:p w14:paraId="266406A2" w14:textId="77777777" w:rsidR="002E52BD" w:rsidRPr="00DC0BFF" w:rsidRDefault="002E52BD" w:rsidP="002E52B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Okres pozostawienia na polu: do czasu wysiewu następnej uprawy głównej. Dopuszcza się pozostawienie wsiewki jako uprawa główna w roku następnym.</w:t>
      </w:r>
    </w:p>
    <w:p w14:paraId="665F42A0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Strefy buforowe na gruntach ornych wzdłuż wód powierzchniowych </w:t>
      </w:r>
    </w:p>
    <w:p w14:paraId="6F8BE2CB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Wysiew traw i roślin </w:t>
      </w:r>
      <w:proofErr w:type="spellStart"/>
      <w:r w:rsidRPr="00DC0BFF">
        <w:rPr>
          <w:rFonts w:ascii="Times New Roman" w:hAnsi="Times New Roman" w:cs="Times New Roman"/>
        </w:rPr>
        <w:t>bobowatych</w:t>
      </w:r>
      <w:proofErr w:type="spellEnd"/>
      <w:r w:rsidRPr="00DC0BFF">
        <w:rPr>
          <w:rFonts w:ascii="Times New Roman" w:hAnsi="Times New Roman" w:cs="Times New Roman"/>
        </w:rPr>
        <w:t xml:space="preserve"> (zwłaszcza koniczyn i lucern), obowiązek zachowania istniejących drzew i krzewów.</w:t>
      </w:r>
    </w:p>
    <w:p w14:paraId="64886A73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lastRenderedPageBreak/>
        <w:t>Szerokość strefy: 10 lub 20 m, w zależności od typu wód powierzchniowych.</w:t>
      </w:r>
    </w:p>
    <w:p w14:paraId="60689C69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Koszenie min. raz w roku (15 VII – 30 IX), zbiór biomasy w ciągu dwóch tygodni.</w:t>
      </w:r>
    </w:p>
    <w:p w14:paraId="284551CC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Zakaz: nawożenia, stosowania ścieków, osadów ściekowych, środków ochrony roślin oraz wypasu zwierząt.</w:t>
      </w:r>
    </w:p>
    <w:p w14:paraId="065FB6EF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Utrzymanie: co najmniej do ostatniego dnia lutego.</w:t>
      </w:r>
    </w:p>
    <w:p w14:paraId="20F9AEAA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Opracowanie i przestrzeganie planu nawożenia</w:t>
      </w:r>
      <w:r w:rsidRPr="00DC0B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5AE804F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Opracowanie i przestrzeganie planu nawozowego do powierzchni wszystkich gruntów ornych </w:t>
      </w:r>
      <w:r w:rsidRPr="00DC0BFF">
        <w:rPr>
          <w:rFonts w:ascii="Times New Roman" w:hAnsi="Times New Roman" w:cs="Times New Roman"/>
        </w:rPr>
        <w:br/>
        <w:t xml:space="preserve">w gospodarstwie, opartego na bilansie azotu oraz chemicznej analizie gleby określającej dawki składników pokarmowych (N, P, K) oraz potrzeb wapnowania. </w:t>
      </w:r>
    </w:p>
    <w:p w14:paraId="327D144B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Wapnowanie</w:t>
      </w:r>
    </w:p>
    <w:p w14:paraId="03804091" w14:textId="77777777" w:rsidR="002E52BD" w:rsidRPr="00DC0BFF" w:rsidRDefault="002E52BD" w:rsidP="002E52BD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Stosowanie na glebach zakwaszonych nawozów wapniowych (wapna nawozowego lub środka wapnującego), nie częściej niż raz na 4 lata.</w:t>
      </w:r>
    </w:p>
    <w:p w14:paraId="6A399A71" w14:textId="77777777" w:rsidR="002E52BD" w:rsidRPr="00DC0BFF" w:rsidRDefault="002E52BD" w:rsidP="002E52BD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Potrzeba wapnowania danej działki rolnej będzie wynikała z opinii wydanej przez Okręgową Stację </w:t>
      </w:r>
      <w:proofErr w:type="spellStart"/>
      <w:r w:rsidRPr="00DC0BFF">
        <w:rPr>
          <w:rFonts w:ascii="Times New Roman" w:hAnsi="Times New Roman" w:cs="Times New Roman"/>
        </w:rPr>
        <w:t>Chemiczno</w:t>
      </w:r>
      <w:proofErr w:type="spellEnd"/>
      <w:r w:rsidRPr="00DC0BFF">
        <w:rPr>
          <w:rFonts w:ascii="Times New Roman" w:hAnsi="Times New Roman" w:cs="Times New Roman"/>
        </w:rPr>
        <w:t xml:space="preserve">–Rolniczą o zalecanej dawce </w:t>
      </w:r>
      <w:proofErr w:type="spellStart"/>
      <w:r w:rsidRPr="00DC0BFF">
        <w:rPr>
          <w:rFonts w:ascii="Times New Roman" w:hAnsi="Times New Roman" w:cs="Times New Roman"/>
        </w:rPr>
        <w:t>CaO</w:t>
      </w:r>
      <w:proofErr w:type="spellEnd"/>
      <w:r w:rsidRPr="00DC0BFF">
        <w:rPr>
          <w:rFonts w:ascii="Times New Roman" w:hAnsi="Times New Roman" w:cs="Times New Roman"/>
        </w:rPr>
        <w:t xml:space="preserve"> lub </w:t>
      </w:r>
      <w:proofErr w:type="spellStart"/>
      <w:r w:rsidRPr="00DC0BFF">
        <w:rPr>
          <w:rFonts w:ascii="Times New Roman" w:hAnsi="Times New Roman" w:cs="Times New Roman"/>
        </w:rPr>
        <w:t>CaO+MgO</w:t>
      </w:r>
      <w:proofErr w:type="spellEnd"/>
      <w:r w:rsidRPr="00DC0BFF">
        <w:rPr>
          <w:rFonts w:ascii="Times New Roman" w:hAnsi="Times New Roman" w:cs="Times New Roman"/>
        </w:rPr>
        <w:t>.</w:t>
      </w:r>
    </w:p>
    <w:p w14:paraId="3A734B40" w14:textId="0F8FA7E5" w:rsidR="002E52BD" w:rsidRPr="00DC0BFF" w:rsidRDefault="002E52BD" w:rsidP="00707F5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DC0BFF">
        <w:rPr>
          <w:rFonts w:ascii="Times New Roman" w:hAnsi="Times New Roman" w:cs="Times New Roman"/>
          <w:b/>
          <w:bCs/>
          <w:i/>
          <w:iCs/>
        </w:rPr>
        <w:t>Korzystna struktura upraw</w:t>
      </w:r>
    </w:p>
    <w:p w14:paraId="741AB508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W strukturze zasiewów udział zbóż nie przekracza 50%, a udział roślin okopowych nie przekracza 25% oraz</w:t>
      </w:r>
    </w:p>
    <w:p w14:paraId="3F9FEB7E" w14:textId="3E506DDA" w:rsidR="002E52BD" w:rsidRDefault="002E52BD" w:rsidP="002E52B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Prowadzi się zrównoważoną gospodarkę nawozowo-paszową określoną obsadą zwierząt w granicach X DJP/ha UR (np. 1,5 DJP/ha UR).</w:t>
      </w:r>
    </w:p>
    <w:p w14:paraId="751A16B7" w14:textId="77777777" w:rsidR="002E52BD" w:rsidRPr="00DC0BFF" w:rsidRDefault="002E52BD" w:rsidP="002E52BD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DC0BFF">
        <w:rPr>
          <w:rFonts w:ascii="Times New Roman" w:hAnsi="Times New Roman" w:cs="Times New Roman"/>
          <w:b/>
          <w:i/>
        </w:rPr>
        <w:t xml:space="preserve">Zmianowanie </w:t>
      </w:r>
    </w:p>
    <w:p w14:paraId="04E65170" w14:textId="77777777" w:rsidR="002E52BD" w:rsidRPr="00DC0BFF" w:rsidRDefault="002E52BD" w:rsidP="002E52BD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Na gruntach ornych uprawa roślin jest prowadzona w taki sposób, aby zachować dodatni bilans substancji organicznej. Bilans substancji organicznej oblicza się na podstawie określonych współczynników reprodukcji i degradacji glebowej, przypisanych do danych gatunków roślin uprawnych.</w:t>
      </w:r>
    </w:p>
    <w:p w14:paraId="2466DDDE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Produkcja integrowana</w:t>
      </w:r>
    </w:p>
    <w:p w14:paraId="195A4878" w14:textId="77777777" w:rsidR="002E52BD" w:rsidRPr="00DC0BFF" w:rsidRDefault="002E52BD" w:rsidP="002E52BD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Prowadzenie w danym roku produkcji roślinnej w systemie Produkcji  Integrowanej (IP), zgodnie </w:t>
      </w:r>
      <w:r w:rsidRPr="00DC0BFF">
        <w:rPr>
          <w:rFonts w:ascii="Times New Roman" w:hAnsi="Times New Roman" w:cs="Times New Roman"/>
        </w:rPr>
        <w:br/>
        <w:t xml:space="preserve">z metodyką opracowaną dla danego rodzaju uprawy, potwierdzone certyfikatem IP. </w:t>
      </w:r>
    </w:p>
    <w:p w14:paraId="379AEDA0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Przyorywanie obornika w ciągu 12 godzin od aplikacji na glebę</w:t>
      </w:r>
    </w:p>
    <w:p w14:paraId="4D9AD849" w14:textId="77777777" w:rsidR="002E52BD" w:rsidRPr="00DC0BFF" w:rsidRDefault="002E52BD" w:rsidP="002E52BD">
      <w:pPr>
        <w:pStyle w:val="HTML-wstpniesformatowany"/>
        <w:numPr>
          <w:ilvl w:val="0"/>
          <w:numId w:val="8"/>
        </w:numPr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sz w:val="22"/>
          <w:szCs w:val="22"/>
        </w:rPr>
        <w:t>Przyorywanie obornika na gruntach ornych w ciągu 12 godzin od aplikacji.</w:t>
      </w:r>
    </w:p>
    <w:p w14:paraId="48683519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Rozlewanie gnojowicy innymi metodami niż rozbryzgowo, aplikacja doglebowa nawozów na bazie mocznika</w:t>
      </w:r>
    </w:p>
    <w:p w14:paraId="60C9CBFC" w14:textId="77777777" w:rsidR="002E52BD" w:rsidRPr="00DC0BFF" w:rsidRDefault="002E52BD" w:rsidP="002E52B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Minimalizowanie strat amoniaku poprzez rozlewanie gnojowicy na gruntach ornych metodami innymi niż rozbryzgowo:</w:t>
      </w:r>
    </w:p>
    <w:p w14:paraId="38A35C76" w14:textId="77777777" w:rsidR="002E52BD" w:rsidRPr="00DC0BFF" w:rsidRDefault="002E52BD" w:rsidP="002E52BD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>iniekcja płytka z wykorzystaniem aplikatorów wyposażonych w redlice tarczowe, ALBO</w:t>
      </w:r>
    </w:p>
    <w:p w14:paraId="6E1EF381" w14:textId="77777777" w:rsidR="002E52BD" w:rsidRPr="00DC0BFF" w:rsidRDefault="002E52BD" w:rsidP="002E52B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DC0BFF">
        <w:rPr>
          <w:rFonts w:ascii="Times New Roman" w:hAnsi="Times New Roman"/>
        </w:rPr>
        <w:t xml:space="preserve">aplikacja do gleby z zastosowaniem wozów asenizacyjnych z płozami. </w:t>
      </w:r>
    </w:p>
    <w:p w14:paraId="3470977F" w14:textId="77777777" w:rsidR="002E52BD" w:rsidRPr="00DC0BFF" w:rsidRDefault="002E52BD" w:rsidP="002E52BD">
      <w:pPr>
        <w:pStyle w:val="HTML-wstpniesformatowany"/>
        <w:tabs>
          <w:tab w:val="clear" w:pos="916"/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0B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Uproszczone systemy uprawy</w:t>
      </w:r>
    </w:p>
    <w:p w14:paraId="5E70B1E3" w14:textId="77777777" w:rsidR="002E52BD" w:rsidRPr="00DC0BFF" w:rsidRDefault="002E52BD" w:rsidP="002E52BD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Na gruntach ornych prowadzona jest uprawa uproszczona w formie następujących praktyk:</w:t>
      </w:r>
    </w:p>
    <w:p w14:paraId="246527A2" w14:textId="77777777" w:rsidR="002E52BD" w:rsidRPr="00DC0BFF" w:rsidRDefault="002E52BD" w:rsidP="002E52BD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 xml:space="preserve">(i) uprawa konserwująca </w:t>
      </w:r>
      <w:proofErr w:type="spellStart"/>
      <w:r w:rsidRPr="00DC0BFF">
        <w:rPr>
          <w:rFonts w:ascii="Times New Roman" w:hAnsi="Times New Roman" w:cs="Times New Roman"/>
        </w:rPr>
        <w:t>bezorkowa</w:t>
      </w:r>
      <w:proofErr w:type="spellEnd"/>
      <w:r w:rsidRPr="00DC0BFF">
        <w:rPr>
          <w:rFonts w:ascii="Times New Roman" w:hAnsi="Times New Roman" w:cs="Times New Roman"/>
        </w:rPr>
        <w:t xml:space="preserve"> z mulczowaniem lub</w:t>
      </w:r>
    </w:p>
    <w:p w14:paraId="57AE4758" w14:textId="77777777" w:rsidR="002E52BD" w:rsidRPr="00DC0BFF" w:rsidRDefault="002E52BD" w:rsidP="002E52BD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(ii) uprawa uproszczona lub</w:t>
      </w:r>
    </w:p>
    <w:p w14:paraId="53F3DE79" w14:textId="77777777" w:rsidR="002E52BD" w:rsidRPr="00DC0BFF" w:rsidRDefault="002E52BD" w:rsidP="002E52BD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(iii) uprawa pasowa lub</w:t>
      </w:r>
    </w:p>
    <w:p w14:paraId="3C4385CD" w14:textId="0DE297D3" w:rsidR="0000578F" w:rsidRPr="00707F57" w:rsidRDefault="002E52BD" w:rsidP="00707F57">
      <w:pPr>
        <w:pStyle w:val="Akapitzlist"/>
        <w:spacing w:before="120" w:after="120"/>
        <w:jc w:val="both"/>
        <w:rPr>
          <w:rFonts w:ascii="Times New Roman" w:hAnsi="Times New Roman" w:cs="Times New Roman"/>
        </w:rPr>
      </w:pPr>
      <w:r w:rsidRPr="00DC0BFF">
        <w:rPr>
          <w:rFonts w:ascii="Times New Roman" w:hAnsi="Times New Roman" w:cs="Times New Roman"/>
        </w:rPr>
        <w:t>(iv) uprawa zerowa.</w:t>
      </w:r>
      <w:bookmarkStart w:id="0" w:name="_GoBack"/>
      <w:bookmarkEnd w:id="0"/>
      <w:r w:rsidRPr="00DC0BF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DB4C" wp14:editId="5599B392">
                <wp:simplePos x="0" y="0"/>
                <wp:positionH relativeFrom="column">
                  <wp:posOffset>3067050</wp:posOffset>
                </wp:positionH>
                <wp:positionV relativeFrom="paragraph">
                  <wp:posOffset>1104900</wp:posOffset>
                </wp:positionV>
                <wp:extent cx="2429217" cy="9810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217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8505" w14:textId="77777777" w:rsidR="002E52BD" w:rsidRPr="00B67152" w:rsidRDefault="002E52BD" w:rsidP="002E52BD">
                            <w:pPr>
                              <w:jc w:val="center"/>
                              <w:rPr>
                                <w:rFonts w:ascii="Times New Roman" w:hAnsi="Times New Roman"/>
                                <w:vanish/>
                              </w:rPr>
                            </w:pPr>
                            <w:r w:rsidRPr="00B67152">
                              <w:rPr>
                                <w:rFonts w:ascii="Times New Roman" w:hAnsi="Times New Roman"/>
                                <w:vanish/>
                              </w:rPr>
                              <w:t>podpis wstawiany automatycznie</w:t>
                            </w:r>
                          </w:p>
                          <w:p w14:paraId="06BFD00F" w14:textId="77777777" w:rsidR="002E52BD" w:rsidRPr="00B67152" w:rsidRDefault="002E52BD" w:rsidP="002E52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1" w:name="ezdPracownikNazwa"/>
                            <w:bookmarkEnd w:id="1"/>
                          </w:p>
                          <w:p w14:paraId="079D8E9E" w14:textId="77777777" w:rsidR="002E52BD" w:rsidRPr="00B67152" w:rsidRDefault="002E52BD" w:rsidP="002E52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2" w:name="ezdPracownikStanowisko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DB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5pt;margin-top:87pt;width:191.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" fillcolor="white [3201]" stroked="f" strokeweight=".5pt">
                <v:textbox>
                  <w:txbxContent>
                    <w:p w14:paraId="32948505" w14:textId="77777777" w:rsidR="002E52BD" w:rsidRPr="00B67152" w:rsidRDefault="002E52BD" w:rsidP="002E52BD">
                      <w:pPr>
                        <w:jc w:val="center"/>
                        <w:rPr>
                          <w:rFonts w:ascii="Times New Roman" w:hAnsi="Times New Roman"/>
                          <w:vanish/>
                        </w:rPr>
                      </w:pPr>
                      <w:r w:rsidRPr="00B67152">
                        <w:rPr>
                          <w:rFonts w:ascii="Times New Roman" w:hAnsi="Times New Roman"/>
                          <w:vanish/>
                        </w:rPr>
                        <w:t>podpis wstawiany automatycznie</w:t>
                      </w:r>
                    </w:p>
                    <w:p w14:paraId="06BFD00F" w14:textId="77777777" w:rsidR="002E52BD" w:rsidRPr="00B67152" w:rsidRDefault="002E52BD" w:rsidP="002E52B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3" w:name="ezdPracownikNazwa"/>
                      <w:bookmarkEnd w:id="3"/>
                    </w:p>
                    <w:p w14:paraId="079D8E9E" w14:textId="77777777" w:rsidR="002E52BD" w:rsidRPr="00B67152" w:rsidRDefault="002E52BD" w:rsidP="002E52B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4" w:name="ezdPracownikStanowisko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00578F" w:rsidRPr="00707F57" w:rsidSect="00707F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7757" w14:textId="77777777" w:rsidR="00255A59" w:rsidRDefault="00255A59" w:rsidP="002E52BD">
      <w:pPr>
        <w:spacing w:after="0" w:line="240" w:lineRule="auto"/>
      </w:pPr>
      <w:r>
        <w:separator/>
      </w:r>
    </w:p>
  </w:endnote>
  <w:endnote w:type="continuationSeparator" w:id="0">
    <w:p w14:paraId="191E423A" w14:textId="77777777" w:rsidR="00255A59" w:rsidRDefault="00255A59" w:rsidP="002E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E98C" w14:textId="77777777" w:rsidR="00255A59" w:rsidRDefault="00255A59" w:rsidP="002E52BD">
      <w:pPr>
        <w:spacing w:after="0" w:line="240" w:lineRule="auto"/>
      </w:pPr>
      <w:r>
        <w:separator/>
      </w:r>
    </w:p>
  </w:footnote>
  <w:footnote w:type="continuationSeparator" w:id="0">
    <w:p w14:paraId="2D1B97A2" w14:textId="77777777" w:rsidR="00255A59" w:rsidRDefault="00255A59" w:rsidP="002E52BD">
      <w:pPr>
        <w:spacing w:after="0" w:line="240" w:lineRule="auto"/>
      </w:pPr>
      <w:r>
        <w:continuationSeparator/>
      </w:r>
    </w:p>
  </w:footnote>
  <w:footnote w:id="1">
    <w:p w14:paraId="3879E11E" w14:textId="77777777" w:rsidR="002E52BD" w:rsidRDefault="002E52BD" w:rsidP="002E52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dopuszcza się udział traw lub innych zielnych roślin pastewnych w mieszance pod warunkiem, że nie są one </w:t>
      </w:r>
      <w:r>
        <w:br/>
        <w:t>w mieszance dominujące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B51"/>
    <w:multiLevelType w:val="hybridMultilevel"/>
    <w:tmpl w:val="4EA0E254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4327"/>
    <w:multiLevelType w:val="hybridMultilevel"/>
    <w:tmpl w:val="EFC02E04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A0A0E"/>
    <w:multiLevelType w:val="hybridMultilevel"/>
    <w:tmpl w:val="E7287524"/>
    <w:lvl w:ilvl="0" w:tplc="2A7A01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84D64"/>
    <w:multiLevelType w:val="hybridMultilevel"/>
    <w:tmpl w:val="5CF2168E"/>
    <w:lvl w:ilvl="0" w:tplc="2A7A01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A4CE4"/>
    <w:multiLevelType w:val="hybridMultilevel"/>
    <w:tmpl w:val="12C8EA5C"/>
    <w:lvl w:ilvl="0" w:tplc="477E3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07C13"/>
    <w:multiLevelType w:val="hybridMultilevel"/>
    <w:tmpl w:val="4A700630"/>
    <w:lvl w:ilvl="0" w:tplc="238AD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B2C6C"/>
    <w:multiLevelType w:val="hybridMultilevel"/>
    <w:tmpl w:val="511E84A4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7305C"/>
    <w:multiLevelType w:val="hybridMultilevel"/>
    <w:tmpl w:val="109A36E2"/>
    <w:lvl w:ilvl="0" w:tplc="DEF27C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CF6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4B5FA">
      <w:start w:val="10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1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69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E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8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6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C5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749D"/>
    <w:multiLevelType w:val="hybridMultilevel"/>
    <w:tmpl w:val="F5206A6A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B472ED"/>
    <w:multiLevelType w:val="hybridMultilevel"/>
    <w:tmpl w:val="814E25F0"/>
    <w:lvl w:ilvl="0" w:tplc="FFFFFFFF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BD"/>
    <w:rsid w:val="0000578F"/>
    <w:rsid w:val="00194963"/>
    <w:rsid w:val="00255A59"/>
    <w:rsid w:val="002E52BD"/>
    <w:rsid w:val="00510BE2"/>
    <w:rsid w:val="00707F57"/>
    <w:rsid w:val="00C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CAC0"/>
  <w15:chartTrackingRefBased/>
  <w15:docId w15:val="{E2F4C9F3-DE95-4F36-AB83-A2FB7630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52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52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2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2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Błachowicz-Białek Kamila</dc:creator>
  <cp:keywords/>
  <dc:description/>
  <cp:lastModifiedBy>Barańska Aleksandra</cp:lastModifiedBy>
  <cp:revision>2</cp:revision>
  <dcterms:created xsi:type="dcterms:W3CDTF">2020-05-19T13:25:00Z</dcterms:created>
  <dcterms:modified xsi:type="dcterms:W3CDTF">2020-05-19T13:25:00Z</dcterms:modified>
</cp:coreProperties>
</file>