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ED2960" w:rsidRPr="00156CE9" w:rsidRDefault="00ED2960" w:rsidP="00847F2E">
      <w:pPr>
        <w:pStyle w:val="Akapitzlist"/>
        <w:ind w:left="0"/>
        <w:jc w:val="center"/>
        <w:rPr>
          <w:i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937"/>
        <w:gridCol w:w="754"/>
        <w:gridCol w:w="905"/>
        <w:gridCol w:w="2524"/>
        <w:gridCol w:w="416"/>
        <w:gridCol w:w="277"/>
        <w:gridCol w:w="734"/>
      </w:tblGrid>
      <w:tr w:rsidR="00855B02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Pr="00ED2960" w:rsidRDefault="00B734A0" w:rsidP="00A66284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  <w:p w:rsidR="00ED2960" w:rsidRPr="00ED2960" w:rsidRDefault="00ED2960" w:rsidP="00A66284">
            <w:pPr>
              <w:jc w:val="both"/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4C6987" w:rsidRPr="00847F2E" w:rsidRDefault="00E67715" w:rsidP="00A66284">
            <w:pPr>
              <w:jc w:val="both"/>
              <w:rPr>
                <w:i/>
                <w:color w:val="FF0000"/>
              </w:rPr>
            </w:pPr>
            <w: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Rajd Rowerowy</w:t>
            </w: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Pr="00996175" w:rsidRDefault="000A6FF7" w:rsidP="00A66284">
            <w:pPr>
              <w:jc w:val="both"/>
            </w:pPr>
            <w:r>
              <w:t>Ponad 7</w:t>
            </w:r>
            <w:r w:rsidR="00E67715">
              <w:t>00 uczestników.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Streszczenie projektu/najważniejsze informacje</w:t>
            </w:r>
          </w:p>
        </w:tc>
        <w:tc>
          <w:tcPr>
            <w:tcW w:w="5747" w:type="dxa"/>
            <w:gridSpan w:val="6"/>
          </w:tcPr>
          <w:p w:rsidR="00ED2960" w:rsidRPr="00996175" w:rsidRDefault="00E67715" w:rsidP="007A241D">
            <w:r w:rsidRPr="00DA3333">
              <w:t>Rajd Rowerowy jest imprezą cykliczną i coroczną organizowaną przez Stowarzyszenie Wrota Wielkopolski od 2010 roku. Wydarzenie promuje walory przyrodnicze, turystyczne i krajobrazowe południowej Wielkopolski. W ramach inicjatywy społeczność lokalna ma okazję do wspólnego spędzania czasu wolnego w aktywny sposób. Do realizacji Rajdu Rowerowego jest angażowana społeczność lokalna</w:t>
            </w:r>
            <w:r w:rsidR="00DA3333" w:rsidRPr="00DA3333">
              <w:t>,</w:t>
            </w:r>
            <w:r w:rsidRPr="00DA3333">
              <w:t xml:space="preserve"> trasy są wytyczane przy współudziale miłośników czterech kółek.</w:t>
            </w:r>
            <w:r w:rsidR="00DA3333" w:rsidRPr="00DA3333">
              <w:t xml:space="preserve"> Podczas Rajdu organizator zawsze zapewnia obsługę techniczną i przed medyczna, ubezpieczenie, przewodnika</w:t>
            </w:r>
            <w:r w:rsidR="00DA3333">
              <w:t xml:space="preserve"> oraz poczęstunek.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 w:rsidR="007A241D">
              <w:rPr>
                <w:b/>
                <w:sz w:val="24"/>
                <w:szCs w:val="24"/>
              </w:rPr>
              <w:t>2014-2020</w:t>
            </w:r>
          </w:p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</w:tcPr>
          <w:p w:rsidR="00855B02" w:rsidRDefault="00B87587" w:rsidP="00A66284">
            <w:pPr>
              <w:jc w:val="both"/>
            </w:pPr>
            <w:r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  <w:p w:rsidR="006615E8" w:rsidRDefault="006615E8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DA3333" w:rsidRPr="00857D0B" w:rsidRDefault="00B734A0" w:rsidP="00DA3333">
            <w:pPr>
              <w:rPr>
                <w:rFonts w:ascii="Calibri" w:hAnsi="Calibri" w:cs="Arial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DA3333" w:rsidRPr="00857D0B">
              <w:rPr>
                <w:rFonts w:ascii="Calibri" w:hAnsi="Calibri" w:cs="Arial"/>
              </w:rPr>
              <w:t xml:space="preserve">Zakładane cele </w:t>
            </w:r>
          </w:p>
          <w:p w:rsidR="00DA3333" w:rsidRPr="00857D0B" w:rsidRDefault="00DA3333" w:rsidP="00DA3333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1.Pobudzenie oddolnej inicjatywy mieszkańców środowisk wiejskich oraz ich akty</w:t>
            </w:r>
            <w:r>
              <w:rPr>
                <w:rFonts w:ascii="Calibri" w:hAnsi="Calibri" w:cs="Arial"/>
              </w:rPr>
              <w:t xml:space="preserve">wizacja – cel osiągnięty </w:t>
            </w:r>
            <w:r w:rsidRPr="00857D0B">
              <w:rPr>
                <w:rFonts w:ascii="Calibri" w:hAnsi="Calibri" w:cs="Arial"/>
              </w:rPr>
              <w:t xml:space="preserve">poprzez zorganizowanie i zgromadzenie w jednym miejscu wielu amatorów jazdy rowerowej, którzy razem, aktywnie spędzili czas i wymienili się doświadczeniami. </w:t>
            </w:r>
          </w:p>
          <w:p w:rsidR="00DA3333" w:rsidRPr="00857D0B" w:rsidRDefault="00DA3333" w:rsidP="00DA3333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lastRenderedPageBreak/>
              <w:t>2.Identyfikacja i zgromadzenie wiedzy o lokalnych zabytkach i dziedzictwie kulturowym regionu – miłośnik lokalnej historii, w osobie przewodnika przybliżał uczestnikom walory zwiedzanej krainy, opowiadał o dziedzictwie kulturowym i przyrodniczym regionu.</w:t>
            </w:r>
          </w:p>
          <w:p w:rsidR="00DA3333" w:rsidRPr="00857D0B" w:rsidRDefault="00DA3333" w:rsidP="00DA3333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3.Promowanie i stymulowanie aktywnych form spędzania czasu wolnego poprzez ud</w:t>
            </w:r>
            <w:r>
              <w:rPr>
                <w:rFonts w:ascii="Calibri" w:hAnsi="Calibri" w:cs="Arial"/>
              </w:rPr>
              <w:t>ział w rajdzie.</w:t>
            </w:r>
          </w:p>
          <w:p w:rsidR="006615E8" w:rsidRDefault="00DA3333" w:rsidP="007A241D">
            <w:r w:rsidRPr="00857D0B">
              <w:rPr>
                <w:rFonts w:ascii="Calibri" w:hAnsi="Calibri" w:cs="Arial"/>
              </w:rPr>
              <w:t>4.</w:t>
            </w:r>
            <w:r>
              <w:rPr>
                <w:rFonts w:ascii="Calibri" w:hAnsi="Calibri" w:cs="Arial"/>
              </w:rPr>
              <w:t>Integracja mieszkańców.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043DEE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  <w:p w:rsidR="00043DEE" w:rsidRDefault="00043DEE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043DEE" w:rsidRDefault="00DA3333" w:rsidP="00614486">
            <w:r>
              <w:t>Realizacja Rajdu Rowerowego zawsze</w:t>
            </w:r>
            <w:r w:rsidRPr="00DA3333">
              <w:t xml:space="preserve"> rozpoczęła się od spotkania organizator</w:t>
            </w:r>
            <w:r>
              <w:t>ów projektu wraz z miłośnikami czter</w:t>
            </w:r>
            <w:r w:rsidR="00614486">
              <w:t xml:space="preserve">ech kółek. Na spotkaniu ustalany jest </w:t>
            </w:r>
            <w:r w:rsidRPr="00DA3333">
              <w:t xml:space="preserve">podział </w:t>
            </w:r>
            <w:r w:rsidR="00614486">
              <w:t xml:space="preserve">zadań omawiany jest regulamin rajdu, kartami zgłoszeń, oraz trasa. Po wstępnych ustaleniach opracowywany jest plakat informujący o wydarzeniu. W dalszej kolejności  z odpowiednim wyprzedzeniem zamieszczana jest informacja na stronie internetowej oraz w lokalnej prasie jak również drukowane są plakaty informacyjne. Następnie dokonuje się wyboru przewodnika Rajdu. </w:t>
            </w:r>
            <w:r w:rsidRPr="00DA3333">
              <w:t>Następnie biuro</w:t>
            </w:r>
            <w:r w:rsidR="00614486">
              <w:t xml:space="preserve"> Stowarzyszenia</w:t>
            </w:r>
            <w:r w:rsidRPr="00DA3333">
              <w:t xml:space="preserve"> Wrota Wielkopolski </w:t>
            </w:r>
            <w:r w:rsidR="00614486">
              <w:t>przyjmuje</w:t>
            </w:r>
            <w:r w:rsidRPr="00DA3333">
              <w:t xml:space="preserve"> zgłoszenia na rajd rowerowy. Po zamknięciu zbierania</w:t>
            </w:r>
            <w:r w:rsidR="00614486">
              <w:t xml:space="preserve"> zgłoszeń następuje</w:t>
            </w:r>
            <w:r w:rsidRPr="00DA3333">
              <w:t xml:space="preserve"> ponowne zebranie osób zaangażowanych w realizację projektu w celu ustalenia i omówienia szczegółów co do </w:t>
            </w:r>
            <w:r w:rsidR="00614486">
              <w:t xml:space="preserve">przeprowadzenia rajdu np. </w:t>
            </w:r>
            <w:r w:rsidRPr="00DA3333">
              <w:t>transportu uczestników na start</w:t>
            </w:r>
            <w:r w:rsidR="00614486">
              <w:t>. Podczas samego rajdu do udziału angażowani są Strażacy z lokalnych</w:t>
            </w:r>
            <w:r w:rsidR="009352A4">
              <w:t xml:space="preserve"> OSP zapewniający</w:t>
            </w:r>
            <w:r w:rsidR="00614486">
              <w:t xml:space="preserve"> pomoc medyczną i techniczną podczas Rajdu.</w:t>
            </w:r>
            <w:r w:rsidRPr="00DA3333">
              <w:t xml:space="preserve"> 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  <w:p w:rsidR="00060767" w:rsidRDefault="00060767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Rezultaty twarde:</w:t>
            </w:r>
          </w:p>
          <w:p w:rsidR="00614486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organizacja</w:t>
            </w:r>
            <w:r>
              <w:rPr>
                <w:rFonts w:ascii="Calibri" w:hAnsi="Calibri" w:cs="Arial"/>
              </w:rPr>
              <w:t xml:space="preserve"> 8 rajdów</w:t>
            </w:r>
            <w:r w:rsidRPr="00857D0B">
              <w:rPr>
                <w:rFonts w:ascii="Calibri" w:hAnsi="Calibri" w:cs="Arial"/>
              </w:rPr>
              <w:t xml:space="preserve"> rowerowego</w:t>
            </w:r>
            <w:r>
              <w:rPr>
                <w:rFonts w:ascii="Calibri" w:hAnsi="Calibri" w:cs="Arial"/>
              </w:rPr>
              <w:t xml:space="preserve"> 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ok. 700</w:t>
            </w:r>
            <w:r w:rsidRPr="00857D0B">
              <w:rPr>
                <w:rFonts w:ascii="Calibri" w:hAnsi="Calibri" w:cs="Arial"/>
              </w:rPr>
              <w:t xml:space="preserve"> uczestników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poczęstunek dla 700</w:t>
            </w:r>
            <w:r w:rsidR="009352A4">
              <w:rPr>
                <w:rFonts w:ascii="Calibri" w:hAnsi="Calibri" w:cs="Arial"/>
              </w:rPr>
              <w:t xml:space="preserve"> uczestników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Rezultaty miękkie: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upowszechnianie zdrowego trybu życia i aktywnego wypoczynku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upowszechnianie turystyki, krajoznawstwa i kultury fizycznej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integracja wśród uczestników, połączenie pasji i chęć współpracy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rozwój relacji międzypokoleniowych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rozwój oddolnych inicjatyw społecznych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upowszechnianie wiedzy o ochronie przyrody i lokalnych zabytkach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nauka szacunku do dziedzictwa przyrodniczego i kulturowego</w:t>
            </w:r>
          </w:p>
          <w:p w:rsidR="00614486" w:rsidRPr="00857D0B" w:rsidRDefault="00614486" w:rsidP="00614486">
            <w:pPr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wzmocnienie więzi rodzinnych poprzez wspólne spędzanie czasu wolnego</w:t>
            </w:r>
          </w:p>
          <w:p w:rsidR="00060767" w:rsidRDefault="00614486" w:rsidP="00614486">
            <w:pPr>
              <w:jc w:val="both"/>
              <w:rPr>
                <w:rFonts w:ascii="Calibri" w:hAnsi="Calibri" w:cs="Arial"/>
              </w:rPr>
            </w:pPr>
            <w:r w:rsidRPr="00857D0B">
              <w:rPr>
                <w:rFonts w:ascii="Calibri" w:hAnsi="Calibri" w:cs="Arial"/>
              </w:rPr>
              <w:t>- popularyzacja dobrych praktyk</w:t>
            </w:r>
          </w:p>
          <w:p w:rsidR="00614486" w:rsidRDefault="00614486" w:rsidP="007A241D">
            <w:r w:rsidRPr="00614486">
              <w:t xml:space="preserve">W czasie wspólnej integracji uczestników rajdu rowerowego powstała idea utworzenia szlaku turystycznego łączącego dwa sąsiednie powiaty. Pomysł ten Lokalna Grupa Działania Wrota Wielkopolski przekształciła następnie w projekt „Rowerowa Pętla Południowej Wielkopolski”. W ramach </w:t>
            </w:r>
            <w:r w:rsidRPr="00614486">
              <w:lastRenderedPageBreak/>
              <w:t>realizacji projektu współpracy pomiędzy Stowarzyszeniem Lokalna Grupa Działania "Wrota Wielkopolski" i Stowarzyszeniem „Ostrzeszowska Lokalna Grupa Działania" wytyczono 350 km szlaku rowerowego, który przebiega przez powiaty kępiński i ostrzeszowski.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B87587" w:rsidRDefault="00445E7F" w:rsidP="00B87587">
            <w:pPr>
              <w:jc w:val="both"/>
            </w:pPr>
            <w:r>
              <w:t xml:space="preserve">Organizacja Rajdów Rowerowych </w:t>
            </w:r>
            <w:r w:rsidR="00B87587">
              <w:t>stworzył</w:t>
            </w:r>
            <w:r>
              <w:t xml:space="preserve">a szansę na promocję lokalnych zasobów w niekonwencjonalny i innowacyjny jak dotąd sposób. Podjęcie inicjatywy organizacji Rajdów Rowerowych i wpisanie jej na stałe w kalendarz imprez stworzyło podstawę do stałej </w:t>
            </w:r>
            <w:r w:rsidR="00B87587">
              <w:t xml:space="preserve">współpracy z innymi </w:t>
            </w:r>
            <w:r>
              <w:t>organizacjami i instytucjami oraz co najważniejsze z lokalną społecznością.</w:t>
            </w:r>
          </w:p>
          <w:p w:rsidR="00B87587" w:rsidRDefault="00B87587" w:rsidP="00B87587">
            <w:pPr>
              <w:jc w:val="both"/>
            </w:pPr>
          </w:p>
          <w:p w:rsidR="00060767" w:rsidRDefault="00445E7F" w:rsidP="00B87587">
            <w:pPr>
              <w:jc w:val="both"/>
            </w:pPr>
            <w:r>
              <w:t>Dużym sukcesem operacji jest ogromne zainteresowanie ze strony lokalnej społeczności po zorganizowaniu 8 rajdów rowerowych udział</w:t>
            </w:r>
            <w:r w:rsidR="001059CB">
              <w:t xml:space="preserve"> i zainteresowanie</w:t>
            </w:r>
            <w:r>
              <w:t xml:space="preserve"> mieszkańców </w:t>
            </w:r>
            <w:r w:rsidR="001059CB">
              <w:t>jest nadal wysokie.</w:t>
            </w:r>
          </w:p>
        </w:tc>
      </w:tr>
      <w:tr w:rsidR="00887B77" w:rsidTr="00FF4F9E">
        <w:tc>
          <w:tcPr>
            <w:tcW w:w="534" w:type="dxa"/>
            <w:vMerge w:val="restart"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414E1F" w:rsidRDefault="00887B77" w:rsidP="007F331A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747" w:type="dxa"/>
            <w:gridSpan w:val="6"/>
          </w:tcPr>
          <w:p w:rsidR="00887B77" w:rsidRDefault="009352A4">
            <w:pPr>
              <w:jc w:val="both"/>
              <w:rPr>
                <w:i/>
              </w:rPr>
            </w:pPr>
            <w:r>
              <w:rPr>
                <w:i/>
              </w:rPr>
              <w:t>Stowarzyszenie Wrota Wielkopolski</w:t>
            </w:r>
          </w:p>
        </w:tc>
      </w:tr>
      <w:tr w:rsidR="00887B77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887B77" w:rsidRDefault="009352A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ul. Jana Pawła II 2, 63-604 Baranów</w:t>
            </w:r>
          </w:p>
        </w:tc>
      </w:tr>
      <w:tr w:rsidR="00887B77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887B77" w:rsidRDefault="009352A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www.wrota.info.pl</w:t>
            </w:r>
          </w:p>
        </w:tc>
      </w:tr>
      <w:tr w:rsidR="00887B77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887B77" w:rsidRDefault="009352A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737 486 540</w:t>
            </w:r>
          </w:p>
        </w:tc>
      </w:tr>
      <w:tr w:rsidR="00887B77" w:rsidTr="00FF4F9E">
        <w:tc>
          <w:tcPr>
            <w:tcW w:w="534" w:type="dxa"/>
            <w:vMerge/>
          </w:tcPr>
          <w:p w:rsidR="00887B77" w:rsidRDefault="00887B7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87B77" w:rsidRPr="001B5549" w:rsidRDefault="00887B77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887B77" w:rsidRDefault="009352A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leader@wrota.info.pl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</w:tcPr>
          <w:p w:rsidR="00831424" w:rsidRDefault="009352A4" w:rsidP="00A66284">
            <w:pPr>
              <w:jc w:val="both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831424" w:rsidP="004643E8">
            <w:pPr>
              <w:rPr>
                <w:sz w:val="18"/>
                <w:szCs w:val="18"/>
              </w:rPr>
            </w:pPr>
          </w:p>
        </w:tc>
        <w:tc>
          <w:tcPr>
            <w:tcW w:w="5747" w:type="dxa"/>
            <w:gridSpan w:val="6"/>
          </w:tcPr>
          <w:p w:rsidR="00831424" w:rsidRDefault="009352A4" w:rsidP="00A66284">
            <w:pPr>
              <w:jc w:val="both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Stowarzyszenie Ostrzeszowska Lokalna Grupa Działania w przepadku Projektu współpracy pt. „Rowerowa Pętla Południowej Wielkopolski”.</w:t>
            </w:r>
          </w:p>
          <w:p w:rsidR="009352A4" w:rsidRDefault="009352A4" w:rsidP="00A66284">
            <w:pPr>
              <w:jc w:val="both"/>
            </w:pPr>
            <w:r>
              <w:t xml:space="preserve">Pozostali partnerzy </w:t>
            </w:r>
            <w:r w:rsidRPr="009352A4">
              <w:t>Członkowie OSP zapewniają obsługę przedmedyczną i techniczną rajdu rowerowego. Lokalni restauratorzy i właściciele gospodarstw agroturystycznych zapewniają posiłek dla uczestników rajdu. Parafie, samorządy i biblioteki udostępniają obiekty na trasie przejazdu a miejscowi regionaliści ze stowarzyszeń wiejskich w ciekawy sposób opowiadają o odwiedzanych miejscach</w:t>
            </w:r>
            <w:r w:rsidRPr="00E15939">
              <w:rPr>
                <w:rFonts w:ascii="Tahoma" w:hAnsi="Tahoma" w:cs="Tahoma"/>
              </w:rPr>
              <w:t>.</w:t>
            </w: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</w:p>
        </w:tc>
        <w:tc>
          <w:tcPr>
            <w:tcW w:w="5747" w:type="dxa"/>
            <w:gridSpan w:val="6"/>
          </w:tcPr>
          <w:p w:rsidR="00830368" w:rsidRDefault="009352A4" w:rsidP="00414E1F">
            <w:pPr>
              <w:jc w:val="both"/>
            </w:pPr>
            <w:r>
              <w:t>Rajdy w ramach PROW Stowarzyszenie organizuje od 2010 roku</w:t>
            </w:r>
            <w:r w:rsidR="00414E1F">
              <w:t>.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AB1737" w:rsidRPr="00830368" w:rsidRDefault="00AB1737" w:rsidP="00414E1F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9352A4" w:rsidP="00A66284">
            <w:pPr>
              <w:jc w:val="both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887B77" w:rsidP="00A66284">
            <w:pPr>
              <w:jc w:val="both"/>
            </w:pPr>
            <w:r>
              <w:t>x</w:t>
            </w:r>
          </w:p>
        </w:tc>
      </w:tr>
      <w:tr w:rsidR="00831424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bookmarkStart w:id="0" w:name="_GoBack"/>
            <w:bookmarkEnd w:id="0"/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9352A4" w:rsidP="00A66284">
            <w:pPr>
              <w:jc w:val="both"/>
            </w:pPr>
            <w:r>
              <w:t>42 891,77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9352A4" w:rsidRDefault="009352A4" w:rsidP="009352A4">
            <w:r>
              <w:t>10 664,24</w:t>
            </w:r>
          </w:p>
          <w:p w:rsidR="00831424" w:rsidRPr="00855B02" w:rsidRDefault="00831424" w:rsidP="00A66284">
            <w:pPr>
              <w:jc w:val="both"/>
            </w:pPr>
          </w:p>
        </w:tc>
      </w:tr>
      <w:tr w:rsidR="00805F97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4A5FB1" w:rsidRDefault="004A5FB1" w:rsidP="007A241D"/>
    <w:sectPr w:rsidR="004A5FB1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0A6FF7"/>
    <w:rsid w:val="00100C5A"/>
    <w:rsid w:val="001059CB"/>
    <w:rsid w:val="00140097"/>
    <w:rsid w:val="00156CE9"/>
    <w:rsid w:val="00165CFF"/>
    <w:rsid w:val="001853AF"/>
    <w:rsid w:val="00193C71"/>
    <w:rsid w:val="0019528C"/>
    <w:rsid w:val="001A101B"/>
    <w:rsid w:val="001B5549"/>
    <w:rsid w:val="00202AD8"/>
    <w:rsid w:val="002273A9"/>
    <w:rsid w:val="00241CA4"/>
    <w:rsid w:val="002556E4"/>
    <w:rsid w:val="002855DA"/>
    <w:rsid w:val="00335290"/>
    <w:rsid w:val="00335FE7"/>
    <w:rsid w:val="003802C0"/>
    <w:rsid w:val="003823A9"/>
    <w:rsid w:val="00401BE7"/>
    <w:rsid w:val="00414E1F"/>
    <w:rsid w:val="004268B2"/>
    <w:rsid w:val="00445E7F"/>
    <w:rsid w:val="004643E8"/>
    <w:rsid w:val="00482444"/>
    <w:rsid w:val="004A5FB1"/>
    <w:rsid w:val="004C2764"/>
    <w:rsid w:val="004C6987"/>
    <w:rsid w:val="00516FDF"/>
    <w:rsid w:val="00537F9D"/>
    <w:rsid w:val="00550DD6"/>
    <w:rsid w:val="00563D32"/>
    <w:rsid w:val="005B1077"/>
    <w:rsid w:val="005D67BC"/>
    <w:rsid w:val="00604DB5"/>
    <w:rsid w:val="00614486"/>
    <w:rsid w:val="0064120C"/>
    <w:rsid w:val="006615E8"/>
    <w:rsid w:val="00666708"/>
    <w:rsid w:val="006A3AA8"/>
    <w:rsid w:val="006A55E9"/>
    <w:rsid w:val="0072395C"/>
    <w:rsid w:val="007A0994"/>
    <w:rsid w:val="007A241D"/>
    <w:rsid w:val="007E5819"/>
    <w:rsid w:val="007F331A"/>
    <w:rsid w:val="007F464C"/>
    <w:rsid w:val="00805102"/>
    <w:rsid w:val="00805F97"/>
    <w:rsid w:val="00826533"/>
    <w:rsid w:val="00830368"/>
    <w:rsid w:val="00831424"/>
    <w:rsid w:val="00847F2E"/>
    <w:rsid w:val="00855B02"/>
    <w:rsid w:val="00887B77"/>
    <w:rsid w:val="008A016F"/>
    <w:rsid w:val="008E7C99"/>
    <w:rsid w:val="00906474"/>
    <w:rsid w:val="00927877"/>
    <w:rsid w:val="009352A4"/>
    <w:rsid w:val="0094123D"/>
    <w:rsid w:val="00996175"/>
    <w:rsid w:val="009A0A72"/>
    <w:rsid w:val="009A0CE9"/>
    <w:rsid w:val="00A01994"/>
    <w:rsid w:val="00A23434"/>
    <w:rsid w:val="00A5515E"/>
    <w:rsid w:val="00A63175"/>
    <w:rsid w:val="00A66284"/>
    <w:rsid w:val="00A80446"/>
    <w:rsid w:val="00A848CE"/>
    <w:rsid w:val="00A84B68"/>
    <w:rsid w:val="00AB137E"/>
    <w:rsid w:val="00AB1737"/>
    <w:rsid w:val="00B00E45"/>
    <w:rsid w:val="00B2030D"/>
    <w:rsid w:val="00B343DF"/>
    <w:rsid w:val="00B43864"/>
    <w:rsid w:val="00B734A0"/>
    <w:rsid w:val="00B8748D"/>
    <w:rsid w:val="00B87587"/>
    <w:rsid w:val="00BB573F"/>
    <w:rsid w:val="00BC327D"/>
    <w:rsid w:val="00BD4744"/>
    <w:rsid w:val="00C91E83"/>
    <w:rsid w:val="00CD110E"/>
    <w:rsid w:val="00CE1D08"/>
    <w:rsid w:val="00CE78A3"/>
    <w:rsid w:val="00D30508"/>
    <w:rsid w:val="00DA3333"/>
    <w:rsid w:val="00DE583A"/>
    <w:rsid w:val="00E1611A"/>
    <w:rsid w:val="00E2013B"/>
    <w:rsid w:val="00E67715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AE81"/>
  <w15:docId w15:val="{8ADA6FEE-C589-4748-9029-FEE2AA0A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E4DF-7519-4A79-8AB2-03BAEE06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10</cp:lastModifiedBy>
  <cp:revision>5</cp:revision>
  <cp:lastPrinted>2016-10-25T13:11:00Z</cp:lastPrinted>
  <dcterms:created xsi:type="dcterms:W3CDTF">2017-11-06T12:27:00Z</dcterms:created>
  <dcterms:modified xsi:type="dcterms:W3CDTF">2018-03-28T12:58:00Z</dcterms:modified>
</cp:coreProperties>
</file>