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793" w:rsidRPr="002F6CC9" w:rsidRDefault="00537F9D" w:rsidP="002F6CC9">
      <w:pPr>
        <w:spacing w:after="0" w:line="240" w:lineRule="auto"/>
        <w:rPr>
          <w:sz w:val="20"/>
          <w:szCs w:val="20"/>
        </w:rPr>
      </w:pPr>
      <w:r w:rsidRPr="002F6CC9">
        <w:rPr>
          <w:sz w:val="20"/>
          <w:szCs w:val="20"/>
        </w:rPr>
        <w:t>Przykłady projektów realizowanych na obszarach wiejskich</w:t>
      </w:r>
    </w:p>
    <w:p w:rsidR="00685793" w:rsidRPr="002F6CC9" w:rsidRDefault="00685793" w:rsidP="002F6CC9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5"/>
        <w:gridCol w:w="2940"/>
        <w:gridCol w:w="754"/>
        <w:gridCol w:w="322"/>
        <w:gridCol w:w="3114"/>
        <w:gridCol w:w="400"/>
        <w:gridCol w:w="280"/>
        <w:gridCol w:w="737"/>
      </w:tblGrid>
      <w:tr w:rsidR="00B2613D" w:rsidRPr="002F6CC9" w:rsidTr="00B2613D">
        <w:tc>
          <w:tcPr>
            <w:tcW w:w="515" w:type="dxa"/>
          </w:tcPr>
          <w:p w:rsidR="004C6987" w:rsidRPr="002F6CC9" w:rsidRDefault="004C6987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ED2960" w:rsidRPr="002F6CC9" w:rsidRDefault="00B734A0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Oficjalny t</w:t>
            </w:r>
            <w:r w:rsidR="004C6987" w:rsidRPr="002F6CC9">
              <w:rPr>
                <w:b/>
                <w:sz w:val="20"/>
                <w:szCs w:val="20"/>
              </w:rPr>
              <w:t>ytuł projektu</w:t>
            </w:r>
            <w:r w:rsidRPr="002F6CC9">
              <w:rPr>
                <w:b/>
                <w:sz w:val="20"/>
                <w:szCs w:val="20"/>
              </w:rPr>
              <w:t xml:space="preserve"> </w:t>
            </w:r>
            <w:r w:rsidR="004C6987" w:rsidRPr="002F6CC9">
              <w:rPr>
                <w:b/>
                <w:sz w:val="20"/>
                <w:szCs w:val="20"/>
              </w:rPr>
              <w:t xml:space="preserve">/operacji </w:t>
            </w:r>
          </w:p>
        </w:tc>
        <w:tc>
          <w:tcPr>
            <w:tcW w:w="5607" w:type="dxa"/>
            <w:gridSpan w:val="6"/>
          </w:tcPr>
          <w:p w:rsidR="004C6987" w:rsidRPr="002F6CC9" w:rsidRDefault="00B20ABD" w:rsidP="002F6CC9">
            <w:pPr>
              <w:pStyle w:val="Akapitzlist"/>
              <w:ind w:left="0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„Moje miejsce”</w:t>
            </w:r>
          </w:p>
        </w:tc>
      </w:tr>
      <w:tr w:rsidR="00B2613D" w:rsidRPr="002F6CC9" w:rsidTr="00B2613D">
        <w:tc>
          <w:tcPr>
            <w:tcW w:w="515" w:type="dxa"/>
          </w:tcPr>
          <w:p w:rsidR="004C6987" w:rsidRPr="002F6CC9" w:rsidRDefault="004C6987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4C6987" w:rsidRPr="002F6CC9" w:rsidRDefault="004C6987" w:rsidP="002F6CC9">
            <w:pPr>
              <w:rPr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Ostateczny odbiorca/uczestnik projektu/operacji</w:t>
            </w:r>
          </w:p>
        </w:tc>
        <w:tc>
          <w:tcPr>
            <w:tcW w:w="5607" w:type="dxa"/>
            <w:gridSpan w:val="6"/>
          </w:tcPr>
          <w:p w:rsidR="00E024FC" w:rsidRPr="002F6CC9" w:rsidRDefault="00E024FC" w:rsidP="002F6CC9">
            <w:pPr>
              <w:autoSpaceDE w:val="0"/>
              <w:autoSpaceDN w:val="0"/>
              <w:adjustRightInd w:val="0"/>
              <w:rPr>
                <w:rFonts w:eastAsia="DejaVuSerif" w:cs="DejaVuSerif"/>
                <w:sz w:val="20"/>
                <w:szCs w:val="20"/>
              </w:rPr>
            </w:pPr>
            <w:r w:rsidRPr="002F6CC9">
              <w:rPr>
                <w:rFonts w:eastAsia="DejaVuSerif" w:cs="DejaVuSerif"/>
                <w:sz w:val="20"/>
                <w:szCs w:val="20"/>
              </w:rPr>
              <w:t xml:space="preserve">124 osoby </w:t>
            </w:r>
            <w:r w:rsidR="00B2613D" w:rsidRPr="002F6CC9">
              <w:rPr>
                <w:rFonts w:eastAsia="DejaVuSerif" w:cs="DejaVuSerif"/>
                <w:sz w:val="20"/>
                <w:szCs w:val="20"/>
              </w:rPr>
              <w:t>–</w:t>
            </w:r>
            <w:r w:rsidRPr="002F6CC9">
              <w:rPr>
                <w:rFonts w:eastAsia="DejaVuSerif" w:cs="DejaVuSerif"/>
                <w:sz w:val="20"/>
                <w:szCs w:val="20"/>
              </w:rPr>
              <w:t xml:space="preserve"> młodzież w wieku 13-16 lat (78 dziewcząt i 46 chłopców)</w:t>
            </w:r>
          </w:p>
        </w:tc>
      </w:tr>
      <w:tr w:rsidR="00B2613D" w:rsidRPr="002F6CC9" w:rsidTr="00B2613D">
        <w:tc>
          <w:tcPr>
            <w:tcW w:w="515" w:type="dxa"/>
          </w:tcPr>
          <w:p w:rsidR="00ED2960" w:rsidRPr="002F6CC9" w:rsidRDefault="00ED2960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ED2960" w:rsidRPr="002F6CC9" w:rsidRDefault="00ED2960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Streszczenie projektu/najważniejsze informacje </w:t>
            </w:r>
          </w:p>
        </w:tc>
        <w:tc>
          <w:tcPr>
            <w:tcW w:w="5607" w:type="dxa"/>
            <w:gridSpan w:val="6"/>
          </w:tcPr>
          <w:p w:rsidR="00ED2960" w:rsidRPr="002F6CC9" w:rsidRDefault="008C5C91" w:rsidP="002F6C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CC9">
              <w:rPr>
                <w:rFonts w:eastAsia="DejaVuSerif" w:cs="DejaVuSerif"/>
                <w:sz w:val="20"/>
                <w:szCs w:val="20"/>
              </w:rPr>
              <w:t>Projekt p</w:t>
            </w:r>
            <w:r w:rsidR="00DC35A7" w:rsidRPr="002F6CC9">
              <w:rPr>
                <w:rFonts w:eastAsia="DejaVuSerif" w:cs="DejaVuSerif"/>
                <w:sz w:val="20"/>
                <w:szCs w:val="20"/>
              </w:rPr>
              <w:t>olega</w:t>
            </w:r>
            <w:r w:rsidRPr="002F6CC9">
              <w:rPr>
                <w:rFonts w:eastAsia="DejaVuSerif" w:cs="DejaVuSerif"/>
                <w:sz w:val="20"/>
                <w:szCs w:val="20"/>
              </w:rPr>
              <w:t>ł</w:t>
            </w:r>
            <w:r w:rsidR="00DC35A7" w:rsidRPr="002F6CC9">
              <w:rPr>
                <w:rFonts w:eastAsia="DejaVuSerif" w:cs="DejaVuSerif"/>
                <w:sz w:val="20"/>
                <w:szCs w:val="20"/>
              </w:rPr>
              <w:t xml:space="preserve"> na</w:t>
            </w:r>
            <w:r w:rsidRPr="002F6CC9">
              <w:rPr>
                <w:rFonts w:eastAsia="DejaVuSerif" w:cs="DejaVuSerif"/>
                <w:sz w:val="20"/>
                <w:szCs w:val="20"/>
              </w:rPr>
              <w:t xml:space="preserve"> </w:t>
            </w:r>
            <w:r w:rsidR="00DC35A7" w:rsidRPr="002F6CC9">
              <w:rPr>
                <w:rFonts w:eastAsia="DejaVuSerif" w:cs="DejaVuSerif"/>
                <w:sz w:val="20"/>
                <w:szCs w:val="20"/>
              </w:rPr>
              <w:t>przedstawieniu przez młodzież obrazu przestrzeni, w</w:t>
            </w:r>
            <w:r w:rsidRPr="002F6CC9">
              <w:rPr>
                <w:rFonts w:eastAsia="DejaVuSerif" w:cs="DejaVuSerif"/>
                <w:sz w:val="20"/>
                <w:szCs w:val="20"/>
              </w:rPr>
              <w:t xml:space="preserve"> </w:t>
            </w:r>
            <w:r w:rsidR="00DC35A7" w:rsidRPr="002F6CC9">
              <w:rPr>
                <w:rFonts w:eastAsia="DejaVuSerif" w:cs="DejaVuSerif"/>
                <w:sz w:val="20"/>
                <w:szCs w:val="20"/>
              </w:rPr>
              <w:t>jakiej żyją (wieś, osiedle, miasto) i podjęciu działań, które stworzą nowy kształt przestrzeni lub miejsca – w sensie</w:t>
            </w:r>
            <w:r w:rsidRPr="002F6CC9">
              <w:rPr>
                <w:rFonts w:eastAsia="DejaVuSerif" w:cs="DejaVuSerif"/>
                <w:sz w:val="20"/>
                <w:szCs w:val="20"/>
              </w:rPr>
              <w:t xml:space="preserve"> </w:t>
            </w:r>
            <w:r w:rsidR="00DC35A7" w:rsidRPr="002F6CC9">
              <w:rPr>
                <w:rFonts w:eastAsia="DejaVuSerif" w:cs="DejaVuSerif"/>
                <w:sz w:val="20"/>
                <w:szCs w:val="20"/>
              </w:rPr>
              <w:t>zagospodarowania i w wymiarze funkcji, jaka się w związku z tym pojawi.</w:t>
            </w:r>
            <w:r w:rsidRPr="002F6CC9">
              <w:rPr>
                <w:rFonts w:eastAsia="DejaVuSerif" w:cs="DejaVuSerif"/>
                <w:sz w:val="20"/>
                <w:szCs w:val="20"/>
              </w:rPr>
              <w:t xml:space="preserve"> D</w:t>
            </w:r>
            <w:r w:rsidR="00DC35A7" w:rsidRPr="002F6CC9">
              <w:rPr>
                <w:rFonts w:eastAsia="DejaVuSerif" w:cs="DejaVuSerif"/>
                <w:sz w:val="20"/>
                <w:szCs w:val="20"/>
              </w:rPr>
              <w:t>otyczy</w:t>
            </w:r>
            <w:r w:rsidRPr="002F6CC9">
              <w:rPr>
                <w:rFonts w:eastAsia="DejaVuSerif" w:cs="DejaVuSerif"/>
                <w:sz w:val="20"/>
                <w:szCs w:val="20"/>
              </w:rPr>
              <w:t>ł</w:t>
            </w:r>
            <w:r w:rsidR="00DC35A7" w:rsidRPr="002F6CC9">
              <w:rPr>
                <w:rFonts w:eastAsia="DejaVuSerif" w:cs="DejaVuSerif"/>
                <w:sz w:val="20"/>
                <w:szCs w:val="20"/>
              </w:rPr>
              <w:t xml:space="preserve"> realnego wpływu młodych mieszkańców na kształt lokalnego otoczenia, w którym funkcjonują na co</w:t>
            </w:r>
            <w:r w:rsidRPr="002F6CC9">
              <w:rPr>
                <w:rFonts w:eastAsia="DejaVuSerif" w:cs="DejaVuSerif"/>
                <w:sz w:val="20"/>
                <w:szCs w:val="20"/>
              </w:rPr>
              <w:t xml:space="preserve"> </w:t>
            </w:r>
            <w:r w:rsidR="00DC35A7" w:rsidRPr="002F6CC9">
              <w:rPr>
                <w:rFonts w:eastAsia="DejaVuSerif" w:cs="DejaVuSerif"/>
                <w:sz w:val="20"/>
                <w:szCs w:val="20"/>
              </w:rPr>
              <w:t>dzień. Prowadzi</w:t>
            </w:r>
            <w:r w:rsidRPr="002F6CC9">
              <w:rPr>
                <w:rFonts w:eastAsia="DejaVuSerif" w:cs="DejaVuSerif"/>
                <w:sz w:val="20"/>
                <w:szCs w:val="20"/>
              </w:rPr>
              <w:t xml:space="preserve">ł </w:t>
            </w:r>
            <w:r w:rsidR="00DC35A7" w:rsidRPr="002F6CC9">
              <w:rPr>
                <w:rFonts w:eastAsia="DejaVuSerif" w:cs="DejaVuSerif"/>
                <w:sz w:val="20"/>
                <w:szCs w:val="20"/>
              </w:rPr>
              <w:t xml:space="preserve">do uwzględnienia punktu widzenia młodzieży w lokalnym procesie decyzyjnym. </w:t>
            </w:r>
          </w:p>
        </w:tc>
      </w:tr>
      <w:tr w:rsidR="00B2613D" w:rsidRPr="002F6CC9" w:rsidTr="00B2613D">
        <w:tc>
          <w:tcPr>
            <w:tcW w:w="515" w:type="dxa"/>
            <w:vMerge w:val="restart"/>
          </w:tcPr>
          <w:p w:rsidR="00855B02" w:rsidRPr="002F6CC9" w:rsidRDefault="00855B02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  <w:shd w:val="clear" w:color="auto" w:fill="BFBFBF" w:themeFill="background1" w:themeFillShade="BF"/>
          </w:tcPr>
          <w:p w:rsidR="000318F5" w:rsidRPr="002F6CC9" w:rsidRDefault="00100C5A" w:rsidP="000318F5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Priorytety PROW</w:t>
            </w:r>
            <w:r w:rsidR="000318F5" w:rsidRPr="002F6CC9">
              <w:rPr>
                <w:b/>
                <w:sz w:val="20"/>
                <w:szCs w:val="20"/>
              </w:rPr>
              <w:t>014-2020</w:t>
            </w:r>
          </w:p>
          <w:p w:rsidR="00855B02" w:rsidRPr="002F6CC9" w:rsidRDefault="00855B02" w:rsidP="002F6CC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shd w:val="pct25" w:color="auto" w:fill="auto"/>
          </w:tcPr>
          <w:p w:rsidR="00855B02" w:rsidRPr="002F6CC9" w:rsidRDefault="00855B02" w:rsidP="002F6CC9">
            <w:pPr>
              <w:rPr>
                <w:sz w:val="20"/>
                <w:szCs w:val="20"/>
                <w:highlight w:val="yellow"/>
              </w:rPr>
            </w:pPr>
            <w:r w:rsidRPr="002F6CC9">
              <w:rPr>
                <w:b/>
                <w:bCs/>
                <w:sz w:val="20"/>
                <w:szCs w:val="20"/>
              </w:rPr>
              <w:t>I -</w:t>
            </w:r>
            <w:r w:rsidR="00B2613D" w:rsidRPr="002F6CC9">
              <w:rPr>
                <w:b/>
                <w:bCs/>
                <w:sz w:val="20"/>
                <w:szCs w:val="20"/>
              </w:rPr>
              <w:t xml:space="preserve"> </w:t>
            </w:r>
            <w:r w:rsidRPr="002F6CC9">
              <w:rPr>
                <w:b/>
                <w:bCs/>
                <w:sz w:val="20"/>
                <w:szCs w:val="20"/>
              </w:rPr>
              <w:t>Transfer wiedzy i innowacje</w:t>
            </w:r>
          </w:p>
          <w:p w:rsidR="00855B02" w:rsidRPr="002F6CC9" w:rsidRDefault="00855B02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  <w:lang w:eastAsia="pl-PL"/>
              </w:rPr>
              <w:t>Wspieranie transferu wiedzy i innowacji w rolnictwie, leśnictwie i na obszarach wiejskich</w:t>
            </w:r>
            <w:r w:rsidR="00ED2960" w:rsidRPr="002F6CC9">
              <w:rPr>
                <w:sz w:val="20"/>
                <w:szCs w:val="20"/>
                <w:lang w:eastAsia="pl-PL"/>
              </w:rPr>
              <w:t xml:space="preserve">. </w:t>
            </w:r>
          </w:p>
        </w:tc>
        <w:tc>
          <w:tcPr>
            <w:tcW w:w="1017" w:type="dxa"/>
            <w:gridSpan w:val="2"/>
          </w:tcPr>
          <w:p w:rsidR="00855B02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Nie dotyczy</w:t>
            </w: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shd w:val="pct25" w:color="auto" w:fill="auto"/>
          </w:tcPr>
          <w:p w:rsidR="008C5C91" w:rsidRPr="002F6CC9" w:rsidRDefault="008C5C91" w:rsidP="002F6CC9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sz w:val="20"/>
                <w:szCs w:val="20"/>
                <w:lang w:eastAsia="pl-PL"/>
              </w:rPr>
              <w:t>II Rentowności i konkurencyjność gospodarstw</w:t>
            </w: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  <w:lang w:eastAsia="pl-PL"/>
              </w:rPr>
              <w:t xml:space="preserve">Zwiększanie rentowności gospodarstw i konkurencyjności wszystkich rodzajów rolnictwa we wszystkich regionach oraz promowanie innowacyjnych technologii w gospodarstwach i zrównoważonej gospodarki leśnej. </w:t>
            </w:r>
          </w:p>
        </w:tc>
        <w:tc>
          <w:tcPr>
            <w:tcW w:w="1017" w:type="dxa"/>
            <w:gridSpan w:val="2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Nie dotyczy</w:t>
            </w: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shd w:val="pct25" w:color="auto" w:fill="auto"/>
          </w:tcPr>
          <w:p w:rsidR="008C5C91" w:rsidRPr="002F6CC9" w:rsidRDefault="008C5C91" w:rsidP="002F6CC9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sz w:val="20"/>
                <w:szCs w:val="20"/>
                <w:lang w:eastAsia="pl-PL"/>
              </w:rPr>
              <w:t xml:space="preserve">III Organizacja łańcucha dostaw żywności </w:t>
            </w:r>
          </w:p>
          <w:p w:rsidR="008C5C91" w:rsidRPr="002F6CC9" w:rsidRDefault="008C5C91" w:rsidP="002F6CC9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2F6CC9">
              <w:rPr>
                <w:sz w:val="20"/>
                <w:szCs w:val="20"/>
                <w:lang w:eastAsia="pl-PL"/>
              </w:rPr>
              <w:t>Wspieranie organizacji łańcucha dostaw żywności, w tym przetwarzania i wprowadzania do obrotu produktów rolnych, promowanie dobrostanu zwierząt i zarządzania ryzykiem w rolnictwie.</w:t>
            </w:r>
          </w:p>
        </w:tc>
        <w:tc>
          <w:tcPr>
            <w:tcW w:w="1017" w:type="dxa"/>
            <w:gridSpan w:val="2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Nie dotyczy</w:t>
            </w: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shd w:val="pct25" w:color="auto" w:fill="auto"/>
          </w:tcPr>
          <w:p w:rsidR="008C5C91" w:rsidRPr="002F6CC9" w:rsidRDefault="008C5C91" w:rsidP="002F6CC9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sz w:val="20"/>
                <w:szCs w:val="20"/>
                <w:lang w:eastAsia="pl-PL"/>
              </w:rPr>
              <w:t xml:space="preserve">IV. Wzmacnianie ekosystemów </w:t>
            </w: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  <w:lang w:eastAsia="pl-PL"/>
              </w:rPr>
              <w:t>Odtwarzanie, ochrona i wzmacnianie ekosystemów związanych z rolnictwem i leśnictwem.</w:t>
            </w:r>
          </w:p>
        </w:tc>
        <w:tc>
          <w:tcPr>
            <w:tcW w:w="1017" w:type="dxa"/>
            <w:gridSpan w:val="2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Nie dotyczy</w:t>
            </w: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shd w:val="pct25" w:color="auto" w:fill="auto"/>
          </w:tcPr>
          <w:p w:rsidR="008C5C91" w:rsidRPr="002F6CC9" w:rsidRDefault="008C5C91" w:rsidP="002F6CC9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sz w:val="20"/>
                <w:szCs w:val="20"/>
                <w:lang w:eastAsia="pl-PL"/>
              </w:rPr>
              <w:t>V. Efektywne gospodarowanie zasobami</w:t>
            </w: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  <w:lang w:eastAsia="pl-PL"/>
              </w:rPr>
              <w:t>Wspieranie efektywnego gospodarowania zasobami i przechodzenia na gospodarkę niskoemisyjną i odporną na zmianę klimatu w sektorach rolnym, spożywczym i leśnym.</w:t>
            </w:r>
          </w:p>
        </w:tc>
        <w:tc>
          <w:tcPr>
            <w:tcW w:w="1017" w:type="dxa"/>
            <w:gridSpan w:val="2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Nie dotyczy</w:t>
            </w: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590" w:type="dxa"/>
            <w:gridSpan w:val="4"/>
            <w:shd w:val="pct25" w:color="auto" w:fill="auto"/>
          </w:tcPr>
          <w:p w:rsidR="008C5C91" w:rsidRPr="002F6CC9" w:rsidRDefault="008C5C91" w:rsidP="002F6CC9">
            <w:pPr>
              <w:rPr>
                <w:b/>
                <w:bCs/>
                <w:sz w:val="20"/>
                <w:szCs w:val="20"/>
                <w:lang w:eastAsia="pl-PL"/>
              </w:rPr>
            </w:pPr>
            <w:r w:rsidRPr="002F6CC9">
              <w:rPr>
                <w:b/>
                <w:bCs/>
                <w:sz w:val="20"/>
                <w:szCs w:val="20"/>
                <w:lang w:eastAsia="pl-PL"/>
              </w:rPr>
              <w:t>VI. Zrównoważony rozwój terytorialny</w:t>
            </w: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  <w:lang w:eastAsia="pl-PL"/>
              </w:rPr>
              <w:t xml:space="preserve">Wspieranie włączenia społecznego, ograniczania ubóstwa i rozwoju gospodarczego na obszarach wiejskich </w:t>
            </w:r>
          </w:p>
        </w:tc>
        <w:tc>
          <w:tcPr>
            <w:tcW w:w="1017" w:type="dxa"/>
            <w:gridSpan w:val="2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Nie dotyczy</w:t>
            </w: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Kontekst i cele operacji.</w:t>
            </w:r>
          </w:p>
          <w:p w:rsidR="008C5C91" w:rsidRPr="002F6CC9" w:rsidRDefault="008C5C91" w:rsidP="002F6CC9">
            <w:pPr>
              <w:pStyle w:val="Akapitzlist"/>
              <w:numPr>
                <w:ilvl w:val="0"/>
                <w:numId w:val="21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Diagnoza /powody/przyczyny realizacji operacji, dlaczego i komu operacja była potrzebna?</w:t>
            </w:r>
          </w:p>
          <w:p w:rsidR="008C5C91" w:rsidRPr="002F6CC9" w:rsidRDefault="008C5C91" w:rsidP="002F6CC9">
            <w:pPr>
              <w:pStyle w:val="Akapitzlist"/>
              <w:numPr>
                <w:ilvl w:val="0"/>
                <w:numId w:val="21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Cele operacji. </w:t>
            </w: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6"/>
          </w:tcPr>
          <w:p w:rsidR="00605A2B" w:rsidRPr="002F6CC9" w:rsidRDefault="00605A2B" w:rsidP="002F6CC9">
            <w:pPr>
              <w:autoSpaceDE w:val="0"/>
              <w:autoSpaceDN w:val="0"/>
              <w:adjustRightInd w:val="0"/>
              <w:rPr>
                <w:rFonts w:eastAsia="DejaVuSerif" w:cs="DejaVuSerif"/>
                <w:sz w:val="20"/>
                <w:szCs w:val="20"/>
              </w:rPr>
            </w:pPr>
            <w:r w:rsidRPr="002F6CC9">
              <w:rPr>
                <w:rFonts w:eastAsia="DejaVuSerif" w:cs="DejaVuSerif"/>
                <w:sz w:val="20"/>
                <w:szCs w:val="20"/>
              </w:rPr>
              <w:t>Rozpoznanie przeprowadzone przez wnioskodawcę w samorządach wschodniej Wielkopolski wskazało, że młodzi mieszkańcy rzadko (bądź wcale) uczestniczą w rozmaitych formach demokracji, zwłaszcza w sesjach rady, zebraniach wiejskich, zespołach zadaniowych, deliberacjach i nie mają formalnego wpływu na podejmowane decyzje. Organy gminy, a nawet jednostki pomocnicze samorządu, rzadko podejmują wysiłek zmierzający do zainteresowania młodych mieszkańców lokalną demokracją, choćby przez bezpośrednie angażowanie młodych w dyskusję o „teraz” i o „jutrze” lokalnej społeczności bądź poprzez zasięganie opinii w sprawach, które mogą być dla młodych istotne. Projekt „Moje miejsce” prowadził do podejmowania konkretnych inicjatyw zarówno przez młodych mieszkańców jak i przez lokalne samorządy terytorialne.</w:t>
            </w:r>
          </w:p>
          <w:p w:rsidR="008C5C91" w:rsidRPr="002F6CC9" w:rsidRDefault="00605A2B" w:rsidP="002F6CC9">
            <w:pPr>
              <w:autoSpaceDE w:val="0"/>
              <w:autoSpaceDN w:val="0"/>
              <w:adjustRightInd w:val="0"/>
              <w:rPr>
                <w:rFonts w:eastAsia="DejaVuSerif" w:cs="DejaVuSerif"/>
                <w:sz w:val="20"/>
                <w:szCs w:val="20"/>
              </w:rPr>
            </w:pPr>
            <w:r w:rsidRPr="002F6CC9">
              <w:rPr>
                <w:rFonts w:cs="DejaVuSerif"/>
                <w:sz w:val="20"/>
                <w:szCs w:val="20"/>
              </w:rPr>
              <w:t xml:space="preserve">Projekt służył wzmacnianiu zaangażowania młodego pokolenia w kształtowanie przestrzeni i aktywności w środowisku, w którym </w:t>
            </w:r>
            <w:r w:rsidRPr="002F6CC9">
              <w:rPr>
                <w:rFonts w:cs="DejaVuSerif"/>
                <w:sz w:val="20"/>
                <w:szCs w:val="20"/>
              </w:rPr>
              <w:lastRenderedPageBreak/>
              <w:t xml:space="preserve">dorasta. Wzmocnił zainteresowanie sprawami młodego pokolenia. </w:t>
            </w:r>
            <w:r w:rsidRPr="002F6CC9">
              <w:rPr>
                <w:rFonts w:eastAsia="DejaVuSerif" w:cs="DejaVuSerif"/>
                <w:sz w:val="20"/>
                <w:szCs w:val="20"/>
              </w:rPr>
              <w:t xml:space="preserve"> </w:t>
            </w:r>
          </w:p>
        </w:tc>
      </w:tr>
      <w:tr w:rsidR="00B2613D" w:rsidRPr="002F6CC9" w:rsidTr="00B2613D">
        <w:tc>
          <w:tcPr>
            <w:tcW w:w="515" w:type="dxa"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Działania realizowane w ramach operacji </w:t>
            </w:r>
          </w:p>
          <w:p w:rsidR="008C5C91" w:rsidRPr="002F6CC9" w:rsidRDefault="008C5C91" w:rsidP="002F6CC9">
            <w:pPr>
              <w:pStyle w:val="Akapitzlist"/>
              <w:numPr>
                <w:ilvl w:val="0"/>
                <w:numId w:val="24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Jakie działania i w jakich ramach czasowych zostały zrealizowane w ramach operacji? </w:t>
            </w:r>
          </w:p>
          <w:p w:rsidR="008C5C91" w:rsidRPr="002F6CC9" w:rsidRDefault="008C5C91" w:rsidP="002F6CC9">
            <w:pPr>
              <w:pStyle w:val="Akapitzlist"/>
              <w:numPr>
                <w:ilvl w:val="0"/>
                <w:numId w:val="15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Jacy partnerzy i w jaki sposób byli zaangażowani w realizację operacji?</w:t>
            </w: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6"/>
          </w:tcPr>
          <w:p w:rsidR="00E024FC" w:rsidRPr="002F6CC9" w:rsidRDefault="00E024FC" w:rsidP="002F6CC9">
            <w:pPr>
              <w:autoSpaceDE w:val="0"/>
              <w:autoSpaceDN w:val="0"/>
              <w:adjustRightInd w:val="0"/>
              <w:rPr>
                <w:rFonts w:eastAsia="DejaVuSerif-Bold" w:cs="Arial"/>
                <w:bCs/>
                <w:sz w:val="20"/>
                <w:szCs w:val="20"/>
              </w:rPr>
            </w:pPr>
            <w:r w:rsidRPr="002F6CC9">
              <w:rPr>
                <w:rFonts w:eastAsia="DejaVuSerif-Bold" w:cs="Arial"/>
                <w:bCs/>
                <w:sz w:val="20"/>
                <w:szCs w:val="20"/>
              </w:rPr>
              <w:t>Opracowanie i wydanie dwóch publikacji</w:t>
            </w:r>
            <w:r w:rsidR="00DA5591" w:rsidRPr="002F6CC9">
              <w:rPr>
                <w:rFonts w:eastAsia="DejaVuSerif-Bold" w:cs="Arial"/>
                <w:bCs/>
                <w:sz w:val="20"/>
                <w:szCs w:val="20"/>
              </w:rPr>
              <w:t>. Pierwsza</w:t>
            </w:r>
            <w:r w:rsidR="00DA5591" w:rsidRPr="002F6CC9">
              <w:rPr>
                <w:rFonts w:eastAsia="DejaVuSerif" w:cs="DejaVuSerif"/>
                <w:sz w:val="20"/>
                <w:szCs w:val="20"/>
              </w:rPr>
              <w:t>, niezbędna dla zapoznania uczestników z istotą projektu oraz zachęcająca do stosowania kreatywnych, otwartych technik zarządzania zmianą (przestrzenną, społeczną) i prowadzenia publicznej debaty / deliberacji / konsultacji jako podstawy współdecydowania. Druga relacjonująca przebieg projektu, projekty oraz opis procesu decyzyjnego zmierzającego do realizacji zaprojektowanych rozwiązań.</w:t>
            </w:r>
          </w:p>
          <w:p w:rsidR="00DA5591" w:rsidRPr="002F6CC9" w:rsidRDefault="00DA5591" w:rsidP="002F6CC9">
            <w:pPr>
              <w:autoSpaceDE w:val="0"/>
              <w:autoSpaceDN w:val="0"/>
              <w:adjustRightInd w:val="0"/>
              <w:rPr>
                <w:rFonts w:eastAsia="DejaVuSerif-Bold" w:cs="Arial"/>
                <w:bCs/>
                <w:sz w:val="20"/>
                <w:szCs w:val="20"/>
              </w:rPr>
            </w:pPr>
            <w:r w:rsidRPr="002F6CC9">
              <w:rPr>
                <w:rFonts w:eastAsia="DejaVuSerif-Bold" w:cs="Arial"/>
                <w:bCs/>
                <w:sz w:val="20"/>
                <w:szCs w:val="20"/>
              </w:rPr>
              <w:t>Organizacja i przeprowadzenie:</w:t>
            </w:r>
          </w:p>
          <w:p w:rsidR="00E024FC" w:rsidRPr="002F6CC9" w:rsidRDefault="00DA5591" w:rsidP="002F6CC9">
            <w:pPr>
              <w:autoSpaceDE w:val="0"/>
              <w:autoSpaceDN w:val="0"/>
              <w:adjustRightInd w:val="0"/>
              <w:rPr>
                <w:rFonts w:eastAsia="DejaVuSerif" w:cs="Arial"/>
                <w:sz w:val="20"/>
                <w:szCs w:val="20"/>
              </w:rPr>
            </w:pPr>
            <w:r w:rsidRPr="002F6CC9">
              <w:rPr>
                <w:rFonts w:eastAsia="DejaVuSerif-Bold" w:cs="Arial"/>
                <w:bCs/>
                <w:sz w:val="20"/>
                <w:szCs w:val="20"/>
              </w:rPr>
              <w:t>warsztatów</w:t>
            </w:r>
            <w:r w:rsidR="00E024FC" w:rsidRPr="002F6CC9">
              <w:rPr>
                <w:rFonts w:eastAsia="DejaVuSerif-Bold" w:cs="Arial"/>
                <w:bCs/>
                <w:sz w:val="20"/>
                <w:szCs w:val="20"/>
              </w:rPr>
              <w:t xml:space="preserve"> </w:t>
            </w:r>
            <w:r w:rsidRPr="002F6CC9">
              <w:rPr>
                <w:rFonts w:eastAsia="DejaVuSerif" w:cs="Arial"/>
                <w:sz w:val="20"/>
                <w:szCs w:val="20"/>
              </w:rPr>
              <w:t>kompetencyjnych</w:t>
            </w:r>
            <w:r w:rsidR="00E024FC" w:rsidRPr="002F6CC9">
              <w:rPr>
                <w:rFonts w:eastAsia="DejaVuSerif" w:cs="Arial"/>
                <w:sz w:val="20"/>
                <w:szCs w:val="20"/>
              </w:rPr>
              <w:t>; listopad-grudzień 2014 r.</w:t>
            </w:r>
          </w:p>
          <w:p w:rsidR="00E024FC" w:rsidRPr="002F6CC9" w:rsidRDefault="00DA5591" w:rsidP="002F6CC9">
            <w:pPr>
              <w:autoSpaceDE w:val="0"/>
              <w:autoSpaceDN w:val="0"/>
              <w:adjustRightInd w:val="0"/>
              <w:rPr>
                <w:rFonts w:eastAsia="DejaVuSerif" w:cs="Arial"/>
                <w:sz w:val="20"/>
                <w:szCs w:val="20"/>
              </w:rPr>
            </w:pPr>
            <w:r w:rsidRPr="002F6CC9">
              <w:rPr>
                <w:rFonts w:eastAsia="DejaVuSerif" w:cs="Arial"/>
                <w:sz w:val="20"/>
                <w:szCs w:val="20"/>
              </w:rPr>
              <w:t>warsztatów kreatywnych;</w:t>
            </w:r>
            <w:r w:rsidR="00E024FC" w:rsidRPr="002F6CC9">
              <w:rPr>
                <w:rFonts w:eastAsia="DejaVuSerif" w:cs="Arial"/>
                <w:sz w:val="20"/>
                <w:szCs w:val="20"/>
              </w:rPr>
              <w:t xml:space="preserve"> styczeń-marzec 2015 r.</w:t>
            </w:r>
          </w:p>
          <w:p w:rsidR="00E024FC" w:rsidRPr="002F6CC9" w:rsidRDefault="00DA5591" w:rsidP="002F6CC9">
            <w:pPr>
              <w:autoSpaceDE w:val="0"/>
              <w:autoSpaceDN w:val="0"/>
              <w:adjustRightInd w:val="0"/>
              <w:rPr>
                <w:rFonts w:eastAsia="DejaVuSerif" w:cs="Arial"/>
                <w:sz w:val="20"/>
                <w:szCs w:val="20"/>
              </w:rPr>
            </w:pPr>
            <w:r w:rsidRPr="002F6CC9">
              <w:rPr>
                <w:rFonts w:eastAsia="DejaVuSerif" w:cs="Arial"/>
                <w:sz w:val="20"/>
                <w:szCs w:val="20"/>
              </w:rPr>
              <w:t>warsztatów zadaniowych</w:t>
            </w:r>
            <w:r w:rsidR="00E024FC" w:rsidRPr="002F6CC9">
              <w:rPr>
                <w:rFonts w:eastAsia="DejaVuSerif" w:cs="Arial"/>
                <w:sz w:val="20"/>
                <w:szCs w:val="20"/>
              </w:rPr>
              <w:t>; kwiecień-wrzesień 2015 r.</w:t>
            </w:r>
          </w:p>
          <w:p w:rsidR="00E024FC" w:rsidRPr="002F6CC9" w:rsidRDefault="00DA5591" w:rsidP="002F6CC9">
            <w:pPr>
              <w:autoSpaceDE w:val="0"/>
              <w:autoSpaceDN w:val="0"/>
              <w:adjustRightInd w:val="0"/>
              <w:rPr>
                <w:rFonts w:eastAsia="DejaVuSerif" w:cs="Arial"/>
                <w:sz w:val="20"/>
                <w:szCs w:val="20"/>
              </w:rPr>
            </w:pPr>
            <w:r w:rsidRPr="002F6CC9">
              <w:rPr>
                <w:rFonts w:eastAsia="DejaVuSerif" w:cs="Arial"/>
                <w:sz w:val="20"/>
                <w:szCs w:val="20"/>
              </w:rPr>
              <w:t>debat publicznych</w:t>
            </w:r>
            <w:r w:rsidR="00E024FC" w:rsidRPr="002F6CC9">
              <w:rPr>
                <w:rFonts w:eastAsia="DejaVuSerif" w:cs="Arial"/>
                <w:sz w:val="20"/>
                <w:szCs w:val="20"/>
              </w:rPr>
              <w:t>; październik 2015 r.</w:t>
            </w:r>
          </w:p>
          <w:p w:rsidR="00DA5591" w:rsidRPr="002F6CC9" w:rsidRDefault="00E810A3" w:rsidP="002F6CC9">
            <w:pPr>
              <w:autoSpaceDE w:val="0"/>
              <w:autoSpaceDN w:val="0"/>
              <w:adjustRightInd w:val="0"/>
              <w:rPr>
                <w:rFonts w:eastAsia="DejaVuSerif" w:cs="DejaVuSerif"/>
                <w:sz w:val="20"/>
                <w:szCs w:val="20"/>
              </w:rPr>
            </w:pPr>
            <w:r w:rsidRPr="002F6CC9">
              <w:rPr>
                <w:rFonts w:eastAsia="DejaVuSerif" w:cs="DejaVuSerif"/>
                <w:sz w:val="20"/>
                <w:szCs w:val="20"/>
              </w:rPr>
              <w:t xml:space="preserve">Partner: </w:t>
            </w:r>
            <w:r w:rsidR="00DA5591" w:rsidRPr="002F6CC9">
              <w:rPr>
                <w:rFonts w:eastAsia="DejaVuSerif" w:cs="DejaVuSerif"/>
                <w:sz w:val="20"/>
                <w:szCs w:val="20"/>
              </w:rPr>
              <w:t xml:space="preserve">Centrum Kultury i Sztuki w Koninie zaangażowane w realizację część zadań wykraczającą poza kompetencje Towarzystwa Samorządowego i jego ekspertów. Prowadzenie zajęć ukierunkowanych na tworzenie wizji miejsca i wizji przestrzeni. Efektem zaangażowania partnera była więc wizualizacja zagospodarowania funkcjonalno-przestrzennego miejsca (przestrzeni), wykonana w sposób umożliwiający jej prezentację szerszej publiczności (społeczności lokalnej, radnym, sołtysom, wójtom itd.). Specjaliści zaangażowani przez </w:t>
            </w:r>
            <w:proofErr w:type="spellStart"/>
            <w:r w:rsidR="00DA5591" w:rsidRPr="002F6CC9">
              <w:rPr>
                <w:rFonts w:eastAsia="DejaVuSerif" w:cs="DejaVuSerif"/>
                <w:sz w:val="20"/>
                <w:szCs w:val="20"/>
              </w:rPr>
              <w:t>CKiS</w:t>
            </w:r>
            <w:proofErr w:type="spellEnd"/>
            <w:r w:rsidR="00DA5591" w:rsidRPr="002F6CC9">
              <w:rPr>
                <w:rFonts w:eastAsia="DejaVuSerif" w:cs="DejaVuSerif"/>
                <w:sz w:val="20"/>
                <w:szCs w:val="20"/>
              </w:rPr>
              <w:t xml:space="preserve"> wspierali młodzież w korzystaniu z profesjonalnego wsparcia, a także z materiałów, narzędzi,</w:t>
            </w:r>
          </w:p>
          <w:p w:rsidR="008C5C91" w:rsidRPr="002F6CC9" w:rsidRDefault="00DA5591" w:rsidP="002F6C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CC9">
              <w:rPr>
                <w:rFonts w:eastAsia="DejaVuSerif" w:cs="DejaVuSerif"/>
                <w:sz w:val="20"/>
                <w:szCs w:val="20"/>
              </w:rPr>
              <w:t>oprogramowania i innych niezbędnych zasobów, potrzebnych do skutecznego wykonania planowanych efektów podczas warsztatów zadaniowych.</w:t>
            </w:r>
          </w:p>
        </w:tc>
      </w:tr>
      <w:tr w:rsidR="00B2613D" w:rsidRPr="002F6CC9" w:rsidTr="00B2613D">
        <w:tc>
          <w:tcPr>
            <w:tcW w:w="515" w:type="dxa"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Rezultaty operacji </w:t>
            </w:r>
          </w:p>
          <w:p w:rsidR="008C5C91" w:rsidRPr="002F6CC9" w:rsidRDefault="008C5C91" w:rsidP="002F6CC9">
            <w:pPr>
              <w:pStyle w:val="Akapitzlist"/>
              <w:numPr>
                <w:ilvl w:val="0"/>
                <w:numId w:val="16"/>
              </w:numPr>
              <w:ind w:left="317" w:hanging="317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Efekty realizacji operacji.  Wymierne wskaźniki produktu, rezultatu, oddziaływania – </w:t>
            </w:r>
            <w:r w:rsidRPr="002F6CC9">
              <w:rPr>
                <w:b/>
                <w:bCs/>
                <w:sz w:val="20"/>
                <w:szCs w:val="20"/>
              </w:rPr>
              <w:t>jakościowe i ilościowe</w:t>
            </w:r>
            <w:r w:rsidRPr="002F6CC9">
              <w:rPr>
                <w:sz w:val="20"/>
                <w:szCs w:val="20"/>
              </w:rPr>
              <w:t xml:space="preserve">. W jaki sposób zmieniła się sytuacja lub jakie potrzeby zaspokojono w wyniku realizacji operacji? </w:t>
            </w:r>
          </w:p>
          <w:p w:rsidR="008C5C91" w:rsidRPr="002F6CC9" w:rsidRDefault="008C5C91" w:rsidP="00441B83">
            <w:pPr>
              <w:pStyle w:val="Akapitzlist"/>
              <w:numPr>
                <w:ilvl w:val="0"/>
                <w:numId w:val="16"/>
              </w:numPr>
              <w:ind w:left="317" w:hanging="317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Wartość dodana operacji – czy pojawiały się niezamierzone efekty prowadzonych działań?</w:t>
            </w:r>
          </w:p>
        </w:tc>
        <w:tc>
          <w:tcPr>
            <w:tcW w:w="5607" w:type="dxa"/>
            <w:gridSpan w:val="6"/>
          </w:tcPr>
          <w:p w:rsidR="008C5C91" w:rsidRPr="002F6CC9" w:rsidRDefault="004076B9" w:rsidP="002F6CC9">
            <w:pPr>
              <w:shd w:val="clear" w:color="auto" w:fill="FFFFFF" w:themeFill="background1"/>
              <w:ind w:right="-40"/>
              <w:rPr>
                <w:rFonts w:cs="DejaVuSerif"/>
                <w:sz w:val="20"/>
                <w:szCs w:val="20"/>
                <w:lang w:eastAsia="pl-PL"/>
              </w:rPr>
            </w:pPr>
            <w:r w:rsidRPr="002F6CC9">
              <w:rPr>
                <w:rFonts w:cs="DejaVuSerif"/>
                <w:sz w:val="20"/>
                <w:szCs w:val="20"/>
                <w:lang w:eastAsia="pl-PL"/>
              </w:rPr>
              <w:t>Projekt zaowocował opracowaniem przez młodzież z terenu 7 gmin dziesięciu projektów wpływających na urządzenie lub ożywienie lokalnych miejsc,</w:t>
            </w:r>
            <w:r w:rsidRPr="002F6CC9">
              <w:rPr>
                <w:sz w:val="20"/>
                <w:szCs w:val="20"/>
              </w:rPr>
              <w:t xml:space="preserve"> opisanych w publikacji „Moje miejsce – wyzwania i recepty”.</w:t>
            </w:r>
            <w:r w:rsidRPr="002F6CC9">
              <w:rPr>
                <w:rFonts w:cs="DejaVuSerif"/>
                <w:sz w:val="20"/>
                <w:szCs w:val="20"/>
                <w:lang w:eastAsia="pl-PL"/>
              </w:rPr>
              <w:t xml:space="preserve">  Na projekty zespołów z poszczególnych miejscowości składały się założenia ideowe, koncepcje funkcjonalno-przestrzenne, symbole graficzne, pomysły dotyczące promowania inicjatyw w lokalnych środowiskach.</w:t>
            </w:r>
          </w:p>
        </w:tc>
      </w:tr>
      <w:tr w:rsidR="00B2613D" w:rsidRPr="002F6CC9" w:rsidTr="00B2613D">
        <w:tc>
          <w:tcPr>
            <w:tcW w:w="515" w:type="dxa"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441B83" w:rsidRDefault="008C5C91" w:rsidP="00441B83">
            <w:pPr>
              <w:rPr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Wnioski z realizacji operacji.</w:t>
            </w:r>
            <w:r w:rsidRPr="002F6CC9">
              <w:rPr>
                <w:sz w:val="20"/>
                <w:szCs w:val="20"/>
              </w:rPr>
              <w:t xml:space="preserve"> </w:t>
            </w:r>
          </w:p>
          <w:p w:rsidR="008C5C91" w:rsidRPr="002F6CC9" w:rsidRDefault="008C5C91" w:rsidP="00441B83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Co zdecydowało o sukcesie operacji?  </w:t>
            </w:r>
          </w:p>
          <w:p w:rsidR="008C5C91" w:rsidRPr="002F6CC9" w:rsidRDefault="008C5C91" w:rsidP="002F6CC9">
            <w:pPr>
              <w:pStyle w:val="Akapitzlist"/>
              <w:numPr>
                <w:ilvl w:val="1"/>
                <w:numId w:val="20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Doświadczenia z realizacji. Jakie trudności i kłopoty napotkano w trakcie realizacji operacji? Czego unikać? Co można zrobić lepiej? Gdyby zacząć realizację jeszcze raz, to…? Co było interesujące, nieoczekiwane, zaskakujące podczas realizacji projektu?</w:t>
            </w:r>
          </w:p>
          <w:p w:rsidR="008C5C91" w:rsidRPr="002F6CC9" w:rsidRDefault="008C5C91" w:rsidP="002F6CC9">
            <w:pPr>
              <w:numPr>
                <w:ilvl w:val="1"/>
                <w:numId w:val="20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lastRenderedPageBreak/>
              <w:t xml:space="preserve">Dlaczego operacja zasługuje na miano </w:t>
            </w:r>
            <w:r w:rsidRPr="002F6CC9">
              <w:rPr>
                <w:i/>
                <w:iCs/>
                <w:sz w:val="20"/>
                <w:szCs w:val="20"/>
              </w:rPr>
              <w:t xml:space="preserve">dobrej praktyki? </w:t>
            </w:r>
            <w:r w:rsidRPr="002F6CC9">
              <w:rPr>
                <w:sz w:val="20"/>
                <w:szCs w:val="20"/>
              </w:rPr>
              <w:t>Dlaczego warto ją upowszechniać? Czy operacja może być powtórzona, czy ma charakter uniwersalny, modelowy?</w:t>
            </w:r>
          </w:p>
          <w:p w:rsidR="008C5C91" w:rsidRPr="002F6CC9" w:rsidRDefault="008C5C91" w:rsidP="002F6CC9">
            <w:pPr>
              <w:numPr>
                <w:ilvl w:val="1"/>
                <w:numId w:val="20"/>
              </w:numPr>
              <w:ind w:left="317" w:hanging="284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Czy operacja jest innowacyjna i dlaczego? </w:t>
            </w:r>
          </w:p>
        </w:tc>
        <w:tc>
          <w:tcPr>
            <w:tcW w:w="5607" w:type="dxa"/>
            <w:gridSpan w:val="6"/>
          </w:tcPr>
          <w:p w:rsidR="00E810A3" w:rsidRPr="002F6CC9" w:rsidRDefault="00E810A3" w:rsidP="002F6CC9">
            <w:pPr>
              <w:shd w:val="clear" w:color="auto" w:fill="FFFFFF" w:themeFill="background1"/>
              <w:ind w:right="-40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lastRenderedPageBreak/>
              <w:t>Projekt zaowocował oryginalnymi rozwiązaniami o wysokiej jakości, tak pod względem formy (makiety, plakaty), jak pod względem merytorycznym (program zajęć, formy aktywności). Przebieg zajęć wskazał na ogromny zapał i nadzieje ze strony młodzieży oraz jej bardzo dobre przygotowanie. Wsparcie lokalnych środowisk, zadeklarowane podczas debat, może wpłynąć na powodzenie zaprojektowanych rozwiązań i utrwalenie zmian. Dorośli uczestnicy byli pozytywnie zaskoczeni postawą młodzieży, jak i zaproponowaną formułą debat, wskazując na potrzebę ich kontynuacji.</w:t>
            </w:r>
          </w:p>
          <w:p w:rsidR="00E810A3" w:rsidRPr="002F6CC9" w:rsidRDefault="00E810A3" w:rsidP="002F6CC9">
            <w:pPr>
              <w:shd w:val="clear" w:color="auto" w:fill="FFFFFF" w:themeFill="background1"/>
              <w:ind w:right="-40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Debaty wykazały niewystarczające przygotowanie ze strony dorosłych. W kilku miejscach wypowiedzi dorosłych były mało konkretne, świadczyły o braku zrozumienia celu zorganizowanej debaty, zrozumienia potrzeb młodzieży. Rośnie potrzeba </w:t>
            </w:r>
            <w:r w:rsidRPr="002F6CC9">
              <w:rPr>
                <w:sz w:val="20"/>
                <w:szCs w:val="20"/>
              </w:rPr>
              <w:lastRenderedPageBreak/>
              <w:t>przygotowania raczej dorosłych niż młodzieży do wzajemnej współpracy.</w:t>
            </w:r>
          </w:p>
          <w:p w:rsidR="008C5C91" w:rsidRPr="002F6CC9" w:rsidRDefault="00E810A3" w:rsidP="00441B83">
            <w:pPr>
              <w:shd w:val="clear" w:color="auto" w:fill="FFFFFF" w:themeFill="background1"/>
              <w:ind w:right="-40"/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Myśląc o kontynuowaniu podobnych inicjatyw w przyszłości – należy skupić swoje wysiłki na diagnozowaniu potrzeb i angażowaniu lokalnych liderów, którzy są w stanie w sposób systematycznych zadbać o organizowanie aktywności młodzieży, dostarczanie jej profesjonalnego wsparcia oraz opracowanie procedur zapewniających trwałe ugruntowanie obecności głosu młodzieżowego w lokalnej debacie i w lokalnym procesie decyzyjnym.</w:t>
            </w:r>
          </w:p>
        </w:tc>
      </w:tr>
      <w:tr w:rsidR="00B2613D" w:rsidRPr="002F6CC9" w:rsidTr="00B2613D">
        <w:tc>
          <w:tcPr>
            <w:tcW w:w="515" w:type="dxa"/>
            <w:vMerge w:val="restart"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8C5C91" w:rsidRPr="00441B83" w:rsidRDefault="008C5C91" w:rsidP="002F6CC9">
            <w:pPr>
              <w:rPr>
                <w:b/>
                <w:sz w:val="20"/>
                <w:szCs w:val="20"/>
              </w:rPr>
            </w:pPr>
            <w:proofErr w:type="spellStart"/>
            <w:r w:rsidRPr="002F6CC9">
              <w:rPr>
                <w:b/>
                <w:sz w:val="20"/>
                <w:szCs w:val="20"/>
              </w:rPr>
              <w:t>Benficjent</w:t>
            </w:r>
            <w:proofErr w:type="spellEnd"/>
            <w:r w:rsidRPr="002F6CC9">
              <w:rPr>
                <w:b/>
                <w:sz w:val="20"/>
                <w:szCs w:val="20"/>
              </w:rPr>
              <w:t xml:space="preserve"> - nazwa podmiotu otrzymującego wsparcie finansowe</w:t>
            </w:r>
            <w:r w:rsidRPr="002F6CC9">
              <w:rPr>
                <w:sz w:val="20"/>
                <w:szCs w:val="20"/>
              </w:rPr>
              <w:t>.</w:t>
            </w:r>
          </w:p>
        </w:tc>
        <w:tc>
          <w:tcPr>
            <w:tcW w:w="5607" w:type="dxa"/>
            <w:gridSpan w:val="6"/>
          </w:tcPr>
          <w:p w:rsidR="008C5C91" w:rsidRPr="002F6CC9" w:rsidRDefault="00E810A3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Towarzystwo Samorządowe</w:t>
            </w: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adres</w:t>
            </w:r>
          </w:p>
        </w:tc>
        <w:tc>
          <w:tcPr>
            <w:tcW w:w="5607" w:type="dxa"/>
            <w:gridSpan w:val="6"/>
          </w:tcPr>
          <w:p w:rsidR="008C5C91" w:rsidRPr="002F6CC9" w:rsidRDefault="00E810A3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ul. Zofii Urbanowskiej 8, 62-500 Konin</w:t>
            </w: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www</w:t>
            </w:r>
          </w:p>
        </w:tc>
        <w:tc>
          <w:tcPr>
            <w:tcW w:w="5607" w:type="dxa"/>
            <w:gridSpan w:val="6"/>
          </w:tcPr>
          <w:p w:rsidR="008C5C91" w:rsidRPr="002F6CC9" w:rsidRDefault="00E810A3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ts.konin.pl</w:t>
            </w: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telefon kontaktowy</w:t>
            </w:r>
          </w:p>
        </w:tc>
        <w:tc>
          <w:tcPr>
            <w:tcW w:w="5607" w:type="dxa"/>
            <w:gridSpan w:val="6"/>
          </w:tcPr>
          <w:p w:rsidR="008C5C91" w:rsidRPr="002F6CC9" w:rsidRDefault="00E810A3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63 243 75 80</w:t>
            </w: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email</w:t>
            </w:r>
          </w:p>
        </w:tc>
        <w:tc>
          <w:tcPr>
            <w:tcW w:w="5607" w:type="dxa"/>
            <w:gridSpan w:val="6"/>
          </w:tcPr>
          <w:p w:rsidR="008C5C91" w:rsidRPr="002F6CC9" w:rsidRDefault="00E810A3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biuro@ts.konin.pl</w:t>
            </w:r>
          </w:p>
        </w:tc>
      </w:tr>
      <w:tr w:rsidR="00B2613D" w:rsidRPr="002F6CC9" w:rsidTr="00B2613D">
        <w:tc>
          <w:tcPr>
            <w:tcW w:w="515" w:type="dxa"/>
            <w:vMerge w:val="restart"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Kategoria beneficjenta (podmiotu otrzymującego wsparcie finansowe</w:t>
            </w:r>
            <w:r w:rsidRPr="002F6CC9">
              <w:rPr>
                <w:sz w:val="20"/>
                <w:szCs w:val="20"/>
              </w:rPr>
              <w:t>)</w:t>
            </w: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Publiczny (urząd administracji; edukacja &amp; badania; instytucja kultury; inne)</w:t>
            </w:r>
          </w:p>
        </w:tc>
        <w:tc>
          <w:tcPr>
            <w:tcW w:w="737" w:type="dxa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Prywatny (rolnik/farmer, mikro przedsiębiorca, </w:t>
            </w:r>
            <w:r w:rsidRPr="002F6CC9">
              <w:rPr>
                <w:sz w:val="20"/>
                <w:szCs w:val="20"/>
                <w:lang w:val="fr-BE"/>
              </w:rPr>
              <w:t>małe i średnie - przedsiębiorstwa</w:t>
            </w:r>
            <w:r w:rsidRPr="002F6CC9">
              <w:rPr>
                <w:sz w:val="20"/>
                <w:szCs w:val="20"/>
              </w:rPr>
              <w:t>; inne)</w:t>
            </w:r>
          </w:p>
        </w:tc>
        <w:tc>
          <w:tcPr>
            <w:tcW w:w="737" w:type="dxa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O</w:t>
            </w:r>
            <w:r w:rsidRPr="002F6CC9">
              <w:rPr>
                <w:sz w:val="20"/>
                <w:szCs w:val="20"/>
                <w:lang w:val="fr-BE"/>
              </w:rPr>
              <w:t>rganizacje pozarządowe/NGO</w:t>
            </w:r>
          </w:p>
        </w:tc>
        <w:tc>
          <w:tcPr>
            <w:tcW w:w="737" w:type="dxa"/>
          </w:tcPr>
          <w:p w:rsidR="008C5C91" w:rsidRPr="002F6CC9" w:rsidRDefault="00E810A3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x</w:t>
            </w: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  <w:lang w:val="fr-BE"/>
              </w:rPr>
              <w:t>Lokalne Grupy Działania/LGD</w:t>
            </w: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Lokalne Grupy Rybackie/LGR</w:t>
            </w:r>
          </w:p>
        </w:tc>
        <w:tc>
          <w:tcPr>
            <w:tcW w:w="737" w:type="dxa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Inne</w:t>
            </w:r>
          </w:p>
        </w:tc>
        <w:tc>
          <w:tcPr>
            <w:tcW w:w="737" w:type="dxa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754" w:type="dxa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Jakie?</w:t>
            </w:r>
          </w:p>
        </w:tc>
        <w:tc>
          <w:tcPr>
            <w:tcW w:w="4853" w:type="dxa"/>
            <w:gridSpan w:val="5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Partnerzy projektu </w:t>
            </w: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5607" w:type="dxa"/>
            <w:gridSpan w:val="6"/>
          </w:tcPr>
          <w:p w:rsidR="008C5C91" w:rsidRPr="002F6CC9" w:rsidRDefault="00E810A3" w:rsidP="002F6CC9">
            <w:pPr>
              <w:rPr>
                <w:sz w:val="20"/>
                <w:szCs w:val="20"/>
              </w:rPr>
            </w:pPr>
            <w:r w:rsidRPr="002F6CC9">
              <w:rPr>
                <w:rFonts w:eastAsia="DejaVuSerif" w:cs="DejaVuSerif"/>
                <w:sz w:val="20"/>
                <w:szCs w:val="20"/>
              </w:rPr>
              <w:t>Centrum Kultury i Sztuki w Koninie</w:t>
            </w:r>
          </w:p>
        </w:tc>
      </w:tr>
      <w:tr w:rsidR="00B2613D" w:rsidRPr="002F6CC9" w:rsidTr="00B2613D">
        <w:tc>
          <w:tcPr>
            <w:tcW w:w="515" w:type="dxa"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>Czas realizacji operacji</w:t>
            </w: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 (długość trwania, rok realizacji).</w:t>
            </w:r>
          </w:p>
        </w:tc>
        <w:tc>
          <w:tcPr>
            <w:tcW w:w="5607" w:type="dxa"/>
            <w:gridSpan w:val="6"/>
          </w:tcPr>
          <w:p w:rsidR="008C5C91" w:rsidRPr="002F6CC9" w:rsidRDefault="00E810A3" w:rsidP="002F6CC9">
            <w:pPr>
              <w:rPr>
                <w:sz w:val="20"/>
                <w:szCs w:val="20"/>
              </w:rPr>
            </w:pPr>
            <w:r w:rsidRPr="002F6CC9">
              <w:rPr>
                <w:rFonts w:cs="DejaVuSerif-Bold"/>
                <w:bCs/>
                <w:sz w:val="20"/>
                <w:szCs w:val="20"/>
              </w:rPr>
              <w:t>01.09.2014 do 30.11.2015</w:t>
            </w:r>
          </w:p>
        </w:tc>
      </w:tr>
      <w:tr w:rsidR="00B2613D" w:rsidRPr="002F6CC9" w:rsidTr="00B2613D">
        <w:tc>
          <w:tcPr>
            <w:tcW w:w="515" w:type="dxa"/>
            <w:vMerge w:val="restart"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Miejsce realizacji operacji /zasięg terytorialny operacji </w:t>
            </w:r>
          </w:p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Zasięg międzynarodowy </w:t>
            </w:r>
          </w:p>
        </w:tc>
        <w:tc>
          <w:tcPr>
            <w:tcW w:w="737" w:type="dxa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Zasięg ogólnopolski</w:t>
            </w:r>
          </w:p>
        </w:tc>
        <w:tc>
          <w:tcPr>
            <w:tcW w:w="737" w:type="dxa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Zasięg regionalny </w:t>
            </w:r>
          </w:p>
        </w:tc>
        <w:tc>
          <w:tcPr>
            <w:tcW w:w="737" w:type="dxa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Zasięg wojewódzki</w:t>
            </w:r>
          </w:p>
        </w:tc>
        <w:tc>
          <w:tcPr>
            <w:tcW w:w="737" w:type="dxa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4870" w:type="dxa"/>
            <w:gridSpan w:val="5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Zasięg lokalny </w:t>
            </w:r>
          </w:p>
        </w:tc>
        <w:tc>
          <w:tcPr>
            <w:tcW w:w="737" w:type="dxa"/>
          </w:tcPr>
          <w:p w:rsidR="008C5C91" w:rsidRPr="002F6CC9" w:rsidRDefault="004F7EF8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x</w:t>
            </w: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b/>
                <w:sz w:val="20"/>
                <w:szCs w:val="20"/>
              </w:rPr>
            </w:pPr>
          </w:p>
        </w:tc>
        <w:tc>
          <w:tcPr>
            <w:tcW w:w="5607" w:type="dxa"/>
            <w:gridSpan w:val="6"/>
          </w:tcPr>
          <w:p w:rsidR="008C5C91" w:rsidRPr="002F6CC9" w:rsidRDefault="0078225E" w:rsidP="002F6CC9">
            <w:pPr>
              <w:rPr>
                <w:sz w:val="20"/>
                <w:szCs w:val="20"/>
              </w:rPr>
            </w:pPr>
            <w:r w:rsidRPr="002F6CC9">
              <w:rPr>
                <w:rFonts w:cs="Arial"/>
                <w:sz w:val="20"/>
                <w:szCs w:val="20"/>
                <w:shd w:val="clear" w:color="auto" w:fill="FFFFFF"/>
              </w:rPr>
              <w:t>województwo wielkopolskie: Golina, Grzegorzew, Kłodawa, Koło, Rychwał, Skulsk, Turek</w:t>
            </w:r>
          </w:p>
        </w:tc>
      </w:tr>
      <w:tr w:rsidR="00B2613D" w:rsidRPr="002F6CC9" w:rsidTr="00B2613D">
        <w:tc>
          <w:tcPr>
            <w:tcW w:w="515" w:type="dxa"/>
            <w:vMerge w:val="restart"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40" w:type="dxa"/>
            <w:vMerge w:val="restart"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b/>
                <w:sz w:val="20"/>
                <w:szCs w:val="20"/>
              </w:rPr>
              <w:t xml:space="preserve">Koszty operacji.  </w:t>
            </w:r>
            <w:r w:rsidRPr="002F6CC9">
              <w:rPr>
                <w:b/>
                <w:sz w:val="20"/>
                <w:szCs w:val="20"/>
              </w:rPr>
              <w:br/>
            </w:r>
          </w:p>
        </w:tc>
        <w:tc>
          <w:tcPr>
            <w:tcW w:w="4190" w:type="dxa"/>
            <w:gridSpan w:val="3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Koszty całkowite operacji (budżet), w tym:</w:t>
            </w:r>
          </w:p>
        </w:tc>
        <w:tc>
          <w:tcPr>
            <w:tcW w:w="1417" w:type="dxa"/>
            <w:gridSpan w:val="3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shd w:val="pct25" w:color="auto" w:fill="auto"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Środki publiczne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rPr>
          <w:trHeight w:val="574"/>
        </w:trPr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 w:val="restart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 funduszy unijnych:</w:t>
            </w:r>
          </w:p>
        </w:tc>
        <w:tc>
          <w:tcPr>
            <w:tcW w:w="3114" w:type="dxa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Rozwoju Regionalnego</w:t>
            </w:r>
          </w:p>
        </w:tc>
        <w:tc>
          <w:tcPr>
            <w:tcW w:w="1417" w:type="dxa"/>
            <w:gridSpan w:val="3"/>
            <w:shd w:val="clear" w:color="auto" w:fill="FFFFFF" w:themeFill="background1"/>
          </w:tcPr>
          <w:p w:rsidR="008C5C91" w:rsidRPr="002F6CC9" w:rsidRDefault="008C5C91" w:rsidP="002F6CC9">
            <w:pPr>
              <w:rPr>
                <w:sz w:val="20"/>
                <w:szCs w:val="20"/>
                <w:highlight w:val="darkGray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Społeczny</w:t>
            </w:r>
          </w:p>
        </w:tc>
        <w:tc>
          <w:tcPr>
            <w:tcW w:w="1417" w:type="dxa"/>
            <w:gridSpan w:val="3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Fundusz Spójności</w:t>
            </w:r>
          </w:p>
        </w:tc>
        <w:tc>
          <w:tcPr>
            <w:tcW w:w="1417" w:type="dxa"/>
            <w:gridSpan w:val="3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Rolny na rzecz Rozwoju Obszarów Wiejskich</w:t>
            </w:r>
          </w:p>
        </w:tc>
        <w:tc>
          <w:tcPr>
            <w:tcW w:w="1417" w:type="dxa"/>
            <w:gridSpan w:val="3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vMerge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3114" w:type="dxa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Europejski Fundusz Morski i Rybacki (dawniej Europejski Fundusz Rybacki)</w:t>
            </w:r>
          </w:p>
        </w:tc>
        <w:tc>
          <w:tcPr>
            <w:tcW w:w="1417" w:type="dxa"/>
            <w:gridSpan w:val="3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z budżetu państwa </w:t>
            </w:r>
          </w:p>
        </w:tc>
        <w:tc>
          <w:tcPr>
            <w:tcW w:w="1417" w:type="dxa"/>
            <w:gridSpan w:val="3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shd w:val="pct25" w:color="auto" w:fill="auto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z budżetu samorządów terytorialnych</w:t>
            </w:r>
          </w:p>
        </w:tc>
        <w:tc>
          <w:tcPr>
            <w:tcW w:w="1417" w:type="dxa"/>
            <w:gridSpan w:val="3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shd w:val="pct25" w:color="auto" w:fill="auto"/>
          </w:tcPr>
          <w:p w:rsidR="008C5C91" w:rsidRPr="002F6CC9" w:rsidRDefault="008C5C91" w:rsidP="00441B83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 xml:space="preserve">Środki prywatne </w:t>
            </w:r>
          </w:p>
        </w:tc>
        <w:tc>
          <w:tcPr>
            <w:tcW w:w="1417" w:type="dxa"/>
            <w:gridSpan w:val="3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</w:tr>
      <w:tr w:rsidR="00B2613D" w:rsidRPr="002F6CC9" w:rsidTr="00B2613D">
        <w:tc>
          <w:tcPr>
            <w:tcW w:w="515" w:type="dxa"/>
            <w:vMerge/>
          </w:tcPr>
          <w:p w:rsidR="008C5C91" w:rsidRPr="002F6CC9" w:rsidRDefault="008C5C91" w:rsidP="002F6CC9">
            <w:pPr>
              <w:pStyle w:val="Akapitzlist"/>
              <w:numPr>
                <w:ilvl w:val="0"/>
                <w:numId w:val="27"/>
              </w:numPr>
              <w:rPr>
                <w:sz w:val="20"/>
                <w:szCs w:val="20"/>
              </w:rPr>
            </w:pPr>
          </w:p>
        </w:tc>
        <w:tc>
          <w:tcPr>
            <w:tcW w:w="2940" w:type="dxa"/>
            <w:vMerge/>
            <w:shd w:val="clear" w:color="auto" w:fill="BFBFBF" w:themeFill="background1" w:themeFillShade="BF"/>
          </w:tcPr>
          <w:p w:rsidR="008C5C91" w:rsidRPr="002F6CC9" w:rsidRDefault="008C5C91" w:rsidP="002F6CC9">
            <w:pPr>
              <w:rPr>
                <w:sz w:val="20"/>
                <w:szCs w:val="20"/>
              </w:rPr>
            </w:pPr>
          </w:p>
        </w:tc>
        <w:tc>
          <w:tcPr>
            <w:tcW w:w="4190" w:type="dxa"/>
            <w:gridSpan w:val="3"/>
            <w:shd w:val="pct25" w:color="auto" w:fill="auto"/>
          </w:tcPr>
          <w:p w:rsidR="004F7EF8" w:rsidRPr="002F6CC9" w:rsidRDefault="008C5C91" w:rsidP="002F6CC9">
            <w:pPr>
              <w:pStyle w:val="Akapitzlist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2F6CC9">
              <w:rPr>
                <w:sz w:val="20"/>
                <w:szCs w:val="20"/>
              </w:rPr>
              <w:t>Inne</w:t>
            </w:r>
            <w:r w:rsidR="004F7EF8" w:rsidRPr="002F6CC9">
              <w:rPr>
                <w:sz w:val="20"/>
                <w:szCs w:val="20"/>
              </w:rPr>
              <w:t xml:space="preserve"> </w:t>
            </w:r>
          </w:p>
          <w:p w:rsidR="008C5C91" w:rsidRPr="002F6CC9" w:rsidRDefault="004F7EF8" w:rsidP="00441B83">
            <w:pPr>
              <w:pStyle w:val="Akapitzlist"/>
              <w:rPr>
                <w:sz w:val="20"/>
                <w:szCs w:val="20"/>
              </w:rPr>
            </w:pPr>
            <w:r w:rsidRPr="002F6CC9">
              <w:rPr>
                <w:rFonts w:cs="Arial"/>
                <w:sz w:val="20"/>
                <w:szCs w:val="20"/>
              </w:rPr>
              <w:t>Mechanizm Finansowy Europejskiego Obszaru Gospodarczego (tzw. Funduszy EOG)</w:t>
            </w:r>
          </w:p>
        </w:tc>
        <w:tc>
          <w:tcPr>
            <w:tcW w:w="1417" w:type="dxa"/>
            <w:gridSpan w:val="3"/>
          </w:tcPr>
          <w:p w:rsidR="008C5C91" w:rsidRPr="002F6CC9" w:rsidRDefault="004F7EF8" w:rsidP="002F6CC9">
            <w:pPr>
              <w:rPr>
                <w:sz w:val="20"/>
                <w:szCs w:val="20"/>
              </w:rPr>
            </w:pPr>
            <w:r w:rsidRPr="002F6CC9">
              <w:rPr>
                <w:rFonts w:cs="DejaVuSerif-Bold"/>
                <w:bCs/>
                <w:sz w:val="20"/>
                <w:szCs w:val="20"/>
              </w:rPr>
              <w:t>342 991,00</w:t>
            </w:r>
            <w:r w:rsidR="000318F5">
              <w:rPr>
                <w:rFonts w:cs="DejaVuSerif-Bold"/>
                <w:bCs/>
                <w:sz w:val="20"/>
                <w:szCs w:val="20"/>
              </w:rPr>
              <w:t xml:space="preserve"> zł</w:t>
            </w:r>
          </w:p>
        </w:tc>
      </w:tr>
    </w:tbl>
    <w:p w:rsidR="00666708" w:rsidRPr="00441B83" w:rsidRDefault="00666708" w:rsidP="002F6CC9">
      <w:pPr>
        <w:spacing w:after="0" w:line="240" w:lineRule="auto"/>
        <w:rPr>
          <w:sz w:val="2"/>
          <w:szCs w:val="2"/>
        </w:rPr>
      </w:pPr>
      <w:bookmarkStart w:id="0" w:name="_GoBack"/>
      <w:bookmarkEnd w:id="0"/>
    </w:p>
    <w:sectPr w:rsidR="00666708" w:rsidRPr="00441B83" w:rsidSect="009A0A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erif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DejaVuSerif-Bold">
    <w:altName w:val="Arial Unicode MS"/>
    <w:panose1 w:val="00000000000000000000"/>
    <w:charset w:val="EE"/>
    <w:family w:val="auto"/>
    <w:notTrueType/>
    <w:pitch w:val="default"/>
    <w:sig w:usb0="00000001" w:usb1="09060000" w:usb2="00000010" w:usb3="00000000" w:csb0="0008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9CF"/>
    <w:multiLevelType w:val="hybridMultilevel"/>
    <w:tmpl w:val="FB5A343A"/>
    <w:lvl w:ilvl="0" w:tplc="E6C4B4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B0D142">
      <w:start w:val="1"/>
      <w:numFmt w:val="bullet"/>
      <w:lvlText w:val="•"/>
      <w:lvlJc w:val="left"/>
      <w:pPr>
        <w:tabs>
          <w:tab w:val="num" w:pos="1353"/>
        </w:tabs>
        <w:ind w:left="1353" w:hanging="360"/>
      </w:pPr>
      <w:rPr>
        <w:rFonts w:ascii="Arial" w:hAnsi="Arial" w:hint="default"/>
      </w:rPr>
    </w:lvl>
    <w:lvl w:ilvl="2" w:tplc="91F4AE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2891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38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60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A89C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8AD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C27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01E05CE"/>
    <w:multiLevelType w:val="hybridMultilevel"/>
    <w:tmpl w:val="CA42E45E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C71027"/>
    <w:multiLevelType w:val="hybridMultilevel"/>
    <w:tmpl w:val="93F22EB4"/>
    <w:lvl w:ilvl="0" w:tplc="1E98F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B42C3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ACD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A4FF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163D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ED0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5A9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F88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09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30D1DE2"/>
    <w:multiLevelType w:val="hybridMultilevel"/>
    <w:tmpl w:val="3EFE0934"/>
    <w:lvl w:ilvl="0" w:tplc="718A23C4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4D2391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C4B5A4">
      <w:start w:val="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0428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56A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940A9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6830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4C742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4663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979A1"/>
    <w:multiLevelType w:val="multilevel"/>
    <w:tmpl w:val="E7845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7D2BBB"/>
    <w:multiLevelType w:val="hybridMultilevel"/>
    <w:tmpl w:val="B380EDAE"/>
    <w:lvl w:ilvl="0" w:tplc="C3DA29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F2A2F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43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243B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286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044F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E23D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47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A40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9B90296"/>
    <w:multiLevelType w:val="hybridMultilevel"/>
    <w:tmpl w:val="2DFEA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1521"/>
    <w:multiLevelType w:val="hybridMultilevel"/>
    <w:tmpl w:val="89DEA270"/>
    <w:lvl w:ilvl="0" w:tplc="48BCB6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E0EEC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26EBA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2C2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0E19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AA47D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58D3D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0232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AA3A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E6FA5"/>
    <w:multiLevelType w:val="hybridMultilevel"/>
    <w:tmpl w:val="DDE89CC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55F10"/>
    <w:multiLevelType w:val="hybridMultilevel"/>
    <w:tmpl w:val="45F42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204B9"/>
    <w:multiLevelType w:val="hybridMultilevel"/>
    <w:tmpl w:val="DFA2F0EC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2064"/>
    <w:multiLevelType w:val="hybridMultilevel"/>
    <w:tmpl w:val="52D89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976A7"/>
    <w:multiLevelType w:val="hybridMultilevel"/>
    <w:tmpl w:val="6AE07622"/>
    <w:lvl w:ilvl="0" w:tplc="5094D4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81D8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C48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F6AC0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148FD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58F96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AAE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2448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A3D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B3425"/>
    <w:multiLevelType w:val="hybridMultilevel"/>
    <w:tmpl w:val="55E4A81A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C41C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9959ED"/>
    <w:multiLevelType w:val="hybridMultilevel"/>
    <w:tmpl w:val="46409A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643F6E"/>
    <w:multiLevelType w:val="hybridMultilevel"/>
    <w:tmpl w:val="4D9CC812"/>
    <w:lvl w:ilvl="0" w:tplc="1598CC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54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BE24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72A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0855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D6A8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BE5E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AA36F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0C8C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70048"/>
    <w:multiLevelType w:val="hybridMultilevel"/>
    <w:tmpl w:val="FE06C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D20E6D"/>
    <w:multiLevelType w:val="hybridMultilevel"/>
    <w:tmpl w:val="2F5EB770"/>
    <w:lvl w:ilvl="0" w:tplc="9AF2A2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B894E2E"/>
    <w:multiLevelType w:val="hybridMultilevel"/>
    <w:tmpl w:val="0DC6B22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333791D"/>
    <w:multiLevelType w:val="hybridMultilevel"/>
    <w:tmpl w:val="456CC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C07029"/>
    <w:multiLevelType w:val="hybridMultilevel"/>
    <w:tmpl w:val="26944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0C4D45"/>
    <w:multiLevelType w:val="hybridMultilevel"/>
    <w:tmpl w:val="322AD1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407F51"/>
    <w:multiLevelType w:val="hybridMultilevel"/>
    <w:tmpl w:val="58A40D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22C4F6C"/>
    <w:multiLevelType w:val="hybridMultilevel"/>
    <w:tmpl w:val="C99A8F0E"/>
    <w:lvl w:ilvl="0" w:tplc="CF88264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A301D"/>
    <w:multiLevelType w:val="hybridMultilevel"/>
    <w:tmpl w:val="03181E5C"/>
    <w:lvl w:ilvl="0" w:tplc="9E0E0D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884CA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CA62D2">
      <w:start w:val="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F2B11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E326A6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5EAA8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605E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56A45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B963DC"/>
    <w:multiLevelType w:val="hybridMultilevel"/>
    <w:tmpl w:val="44304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1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14"/>
  </w:num>
  <w:num w:numId="15">
    <w:abstractNumId w:val="22"/>
  </w:num>
  <w:num w:numId="16">
    <w:abstractNumId w:val="18"/>
  </w:num>
  <w:num w:numId="17">
    <w:abstractNumId w:val="17"/>
  </w:num>
  <w:num w:numId="18">
    <w:abstractNumId w:val="1"/>
  </w:num>
  <w:num w:numId="19">
    <w:abstractNumId w:val="20"/>
  </w:num>
  <w:num w:numId="20">
    <w:abstractNumId w:val="19"/>
  </w:num>
  <w:num w:numId="21">
    <w:abstractNumId w:val="6"/>
  </w:num>
  <w:num w:numId="22">
    <w:abstractNumId w:val="13"/>
  </w:num>
  <w:num w:numId="23">
    <w:abstractNumId w:val="24"/>
  </w:num>
  <w:num w:numId="24">
    <w:abstractNumId w:val="21"/>
  </w:num>
  <w:num w:numId="25">
    <w:abstractNumId w:val="25"/>
  </w:num>
  <w:num w:numId="26">
    <w:abstractNumId w:val="23"/>
  </w:num>
  <w:num w:numId="27">
    <w:abstractNumId w:val="1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1"/>
  </w:num>
  <w:num w:numId="31">
    <w:abstractNumId w:val="22"/>
  </w:num>
  <w:num w:numId="32">
    <w:abstractNumId w:val="16"/>
  </w:num>
  <w:num w:numId="33">
    <w:abstractNumId w:val="18"/>
  </w:num>
  <w:num w:numId="34">
    <w:abstractNumId w:val="11"/>
  </w:num>
  <w:num w:numId="35">
    <w:abstractNumId w:val="19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6F"/>
    <w:rsid w:val="00023634"/>
    <w:rsid w:val="000318F5"/>
    <w:rsid w:val="00043AED"/>
    <w:rsid w:val="00043DEE"/>
    <w:rsid w:val="00060767"/>
    <w:rsid w:val="00095871"/>
    <w:rsid w:val="00100C5A"/>
    <w:rsid w:val="00140097"/>
    <w:rsid w:val="00156CE9"/>
    <w:rsid w:val="00165CFF"/>
    <w:rsid w:val="001853AF"/>
    <w:rsid w:val="00193C71"/>
    <w:rsid w:val="0019528C"/>
    <w:rsid w:val="001A101B"/>
    <w:rsid w:val="001B5549"/>
    <w:rsid w:val="0020208B"/>
    <w:rsid w:val="00202AD8"/>
    <w:rsid w:val="002273A9"/>
    <w:rsid w:val="00241CA4"/>
    <w:rsid w:val="002556E4"/>
    <w:rsid w:val="002855DA"/>
    <w:rsid w:val="002F6CC9"/>
    <w:rsid w:val="00335290"/>
    <w:rsid w:val="003802C0"/>
    <w:rsid w:val="003823A9"/>
    <w:rsid w:val="003B67F9"/>
    <w:rsid w:val="00401BE7"/>
    <w:rsid w:val="004076B9"/>
    <w:rsid w:val="004268B2"/>
    <w:rsid w:val="00441B83"/>
    <w:rsid w:val="004643E8"/>
    <w:rsid w:val="004A33A4"/>
    <w:rsid w:val="004A5FB1"/>
    <w:rsid w:val="004C2764"/>
    <w:rsid w:val="004C6987"/>
    <w:rsid w:val="004F7EF8"/>
    <w:rsid w:val="00516FDF"/>
    <w:rsid w:val="00537F9D"/>
    <w:rsid w:val="00550DD6"/>
    <w:rsid w:val="00563D32"/>
    <w:rsid w:val="005B1077"/>
    <w:rsid w:val="005D67BC"/>
    <w:rsid w:val="00604DB5"/>
    <w:rsid w:val="00605A2B"/>
    <w:rsid w:val="0064120C"/>
    <w:rsid w:val="006615E8"/>
    <w:rsid w:val="00666708"/>
    <w:rsid w:val="00685793"/>
    <w:rsid w:val="006A3AA8"/>
    <w:rsid w:val="006A55E9"/>
    <w:rsid w:val="00776B1F"/>
    <w:rsid w:val="0078225E"/>
    <w:rsid w:val="007A0994"/>
    <w:rsid w:val="007E5819"/>
    <w:rsid w:val="007F331A"/>
    <w:rsid w:val="007F464C"/>
    <w:rsid w:val="00805F97"/>
    <w:rsid w:val="00826533"/>
    <w:rsid w:val="00830368"/>
    <w:rsid w:val="00831424"/>
    <w:rsid w:val="00847F2E"/>
    <w:rsid w:val="00855B02"/>
    <w:rsid w:val="00856A31"/>
    <w:rsid w:val="008A016F"/>
    <w:rsid w:val="008C5C91"/>
    <w:rsid w:val="008E7C99"/>
    <w:rsid w:val="00906474"/>
    <w:rsid w:val="00927877"/>
    <w:rsid w:val="0094123D"/>
    <w:rsid w:val="009A0A72"/>
    <w:rsid w:val="00A01994"/>
    <w:rsid w:val="00A23434"/>
    <w:rsid w:val="00A5515E"/>
    <w:rsid w:val="00A66284"/>
    <w:rsid w:val="00A80446"/>
    <w:rsid w:val="00A848CE"/>
    <w:rsid w:val="00A84B68"/>
    <w:rsid w:val="00AB137E"/>
    <w:rsid w:val="00AB1737"/>
    <w:rsid w:val="00B00E45"/>
    <w:rsid w:val="00B2030D"/>
    <w:rsid w:val="00B20ABD"/>
    <w:rsid w:val="00B2613D"/>
    <w:rsid w:val="00B343DF"/>
    <w:rsid w:val="00B43864"/>
    <w:rsid w:val="00B734A0"/>
    <w:rsid w:val="00B8748D"/>
    <w:rsid w:val="00BB573F"/>
    <w:rsid w:val="00BC327D"/>
    <w:rsid w:val="00BD4744"/>
    <w:rsid w:val="00C91E83"/>
    <w:rsid w:val="00CD110E"/>
    <w:rsid w:val="00CE1D08"/>
    <w:rsid w:val="00CE78A3"/>
    <w:rsid w:val="00D30508"/>
    <w:rsid w:val="00DA5591"/>
    <w:rsid w:val="00DC35A7"/>
    <w:rsid w:val="00DE583A"/>
    <w:rsid w:val="00E024FC"/>
    <w:rsid w:val="00E1611A"/>
    <w:rsid w:val="00E2013B"/>
    <w:rsid w:val="00E344A5"/>
    <w:rsid w:val="00E810A3"/>
    <w:rsid w:val="00E8173F"/>
    <w:rsid w:val="00ED016F"/>
    <w:rsid w:val="00ED2960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EC0BF"/>
  <w15:docId w15:val="{C8E4BE22-EE45-45D8-9946-079CF26AD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38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A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1CA4"/>
    <w:rPr>
      <w:strike w:val="0"/>
      <w:dstrike w:val="0"/>
      <w:color w:val="0065A2"/>
      <w:u w:val="none"/>
      <w:effect w:val="none"/>
      <w:shd w:val="clear" w:color="auto" w:fill="auto"/>
    </w:rPr>
  </w:style>
  <w:style w:type="paragraph" w:styleId="Akapitzlist">
    <w:name w:val="List Paragraph"/>
    <w:basedOn w:val="Normalny"/>
    <w:qFormat/>
    <w:rsid w:val="001853AF"/>
    <w:pPr>
      <w:ind w:left="720"/>
      <w:contextualSpacing/>
    </w:pPr>
  </w:style>
  <w:style w:type="character" w:styleId="Odwoanieprzypisudolnego">
    <w:name w:val="footnote reference"/>
    <w:semiHidden/>
    <w:rsid w:val="00023634"/>
    <w:rPr>
      <w:vertAlign w:val="superscript"/>
    </w:rPr>
  </w:style>
  <w:style w:type="table" w:styleId="Tabela-Siatka">
    <w:name w:val="Table Grid"/>
    <w:basedOn w:val="Standardowy"/>
    <w:uiPriority w:val="39"/>
    <w:rsid w:val="00DE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438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3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8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49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1318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26908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773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58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6914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9221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778">
          <w:marLeft w:val="144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16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3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820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80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5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54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5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612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4093">
          <w:marLeft w:val="23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508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946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6803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873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1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509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7703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0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3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3346-7E2D-4FE3-A581-42D469A54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1238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Programów Pomocy dla Rolnictwa FAPA</Company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Długosz-Dzierżanowska</dc:creator>
  <cp:lastModifiedBy>10</cp:lastModifiedBy>
  <cp:revision>6</cp:revision>
  <cp:lastPrinted>2016-10-25T13:11:00Z</cp:lastPrinted>
  <dcterms:created xsi:type="dcterms:W3CDTF">2017-11-05T20:51:00Z</dcterms:created>
  <dcterms:modified xsi:type="dcterms:W3CDTF">2018-03-28T13:03:00Z</dcterms:modified>
</cp:coreProperties>
</file>