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D2" w:rsidRDefault="00C410D2" w:rsidP="00E00A12">
      <w:pPr>
        <w:spacing w:line="240" w:lineRule="auto"/>
        <w:jc w:val="center"/>
        <w:rPr>
          <w:b/>
          <w:sz w:val="24"/>
          <w:szCs w:val="24"/>
        </w:rPr>
      </w:pPr>
    </w:p>
    <w:p w:rsidR="002374F4" w:rsidRDefault="002374F4" w:rsidP="00E00A12">
      <w:pPr>
        <w:spacing w:line="240" w:lineRule="auto"/>
        <w:jc w:val="center"/>
        <w:rPr>
          <w:b/>
          <w:sz w:val="24"/>
          <w:szCs w:val="24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ArialMT-Bold"/>
          <w:b/>
          <w:bCs/>
          <w:color w:val="262626" w:themeColor="text1" w:themeTint="D9"/>
          <w:spacing w:val="20"/>
          <w:sz w:val="44"/>
          <w:szCs w:val="44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pacing w:val="20"/>
          <w:sz w:val="44"/>
          <w:szCs w:val="44"/>
        </w:rPr>
        <w:t>ROLNICZE SYSTEMY ZABEZPIECZENIA SPOŁECZNEGO W FINLANDII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 Finlandii organizacją związaną z zabezpieczeniem emerytur przedsiębiorców rolnych jest Towarzystwo Rolnicze Ubezpieczenia Społeczne (MELA). MELA, oprócz ochrony emerytalno-rentowej pracowników, jest odpowiedzialna za ustawowe ubezpieczenie wypadkowe przedsiębiorców rolnych i np. za system zastępstw przedsiębiorców rolnych będących na urlopach.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  <w:t>Relacje z innymi systemami pracowniczych rent i emerytur oraz ubezpieczenia wypadkowego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Fiński system ubezpieczenia społecznego jest oparty na dwóch ustawowych układach: </w:t>
      </w:r>
    </w:p>
    <w:p w:rsidR="002374F4" w:rsidRPr="004B289A" w:rsidRDefault="002374F4" w:rsidP="002374F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proofErr w:type="gramStart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na</w:t>
      </w:r>
      <w:proofErr w:type="gramEnd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państwowym systemie emerytalnym, zapewnia</w:t>
      </w:r>
      <w:r w:rsidR="00450218">
        <w:rPr>
          <w:rFonts w:ascii="Century Gothic" w:hAnsi="Century Gothic" w:cs="ArialMT"/>
          <w:color w:val="262626" w:themeColor="text1" w:themeTint="D9"/>
          <w:sz w:val="20"/>
          <w:szCs w:val="20"/>
        </w:rPr>
        <w:t>jącym minimalne bezpieczeństwo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</w:p>
    <w:p w:rsidR="002374F4" w:rsidRPr="004B289A" w:rsidRDefault="002374F4" w:rsidP="002374F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proofErr w:type="gramStart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systemie</w:t>
      </w:r>
      <w:proofErr w:type="gramEnd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dochodowym - opartym o system zawodowych emerytur. System ten działa w ten sposób, że nakład pracy zarówno osób pracujących jak i przedsiębiorców jest zabezpieczony i opiera się na tych samych podstawach, zatem świadczenia są podobne.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Ubezpieczenie społeczne zapewnione przez Instytucję Ubezpieczenia Społecznego (</w:t>
      </w:r>
      <w:r w:rsidR="000F741F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M</w:t>
      </w: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 xml:space="preserve">ELA).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Gwarantuje ona minimalna ochronę wszystkim osobom zamieszkałym w Finlandii. Dodatkowo podstawowe zabezpieczenie emerytalne pokrywa wiele innych form świadczeń, takich jak: leczenie chorób, świadczenia rodzinne, podstawowa ochrona dla bezrobotnych oraz wiele innych świadczeń związanych z miejscem zamieszkania i podstawowymi środkami egzystencji.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System zarobkowy, opierający sie na zabezpieczeniu emerytur zawodowych,</w:t>
      </w:r>
      <w:r w:rsidR="00DB7C22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obejmuje wszystkie osoby zatrudnione w charakterze pracowników najemnych</w:t>
      </w:r>
      <w:r w:rsidR="00DB7C22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albo przedsiębiorców,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lastRenderedPageBreak/>
        <w:t>których dochód zabezpieczony jest przez ten system. W</w:t>
      </w:r>
      <w:r w:rsidR="00DB7C22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nim gromadzone są kwoty, przeznaczone na pokrycie świadczeń emerytalnych,</w:t>
      </w:r>
      <w:r w:rsidR="00DB7C22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inwalidzkich i rent rodzinnych.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Rolniczy System Zarobków związany z zabezpieczeniem emerytur dla przedsiębiorców rolnych jest bardzo podobny do systemu dla pracowników najemnych i innych przedsiębiorców. Główne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wyjątki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są następujące:</w:t>
      </w:r>
    </w:p>
    <w:p w:rsidR="002374F4" w:rsidRPr="004B289A" w:rsidRDefault="007F629A" w:rsidP="002374F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proofErr w:type="gramStart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odrębny</w:t>
      </w:r>
      <w:proofErr w:type="gramEnd"/>
      <w:r w:rsidR="002374F4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system przechodzenia na wcześniejszą emeryturę dla przedsiębiorców rolnych;</w:t>
      </w:r>
    </w:p>
    <w:p w:rsidR="002374F4" w:rsidRPr="004B289A" w:rsidRDefault="002374F4" w:rsidP="002374F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proofErr w:type="gramStart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obowiązkowy</w:t>
      </w:r>
      <w:proofErr w:type="gramEnd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system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ubezpieczeń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wypadkowych dla przedsiębiorców rolnych, który dla innych przedsiębiorców jest oparty na ubezpieczeniu dodatkowym;</w:t>
      </w:r>
    </w:p>
    <w:p w:rsidR="002374F4" w:rsidRPr="004B289A" w:rsidRDefault="002374F4" w:rsidP="002374F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system składek ubezpieczeniowych oparty na tych przedsiębiorcach rolnych, którzy osiągają niższy poziom dochodów z pracy, płacą niższą składkę niż inni </w:t>
      </w:r>
      <w:proofErr w:type="gramStart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pracujący jako</w:t>
      </w:r>
      <w:proofErr w:type="gramEnd"/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przedsiębiorcy.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Kluczowe zadania fińskiego systemu emerytur zawodowych są często realizowane poprzez trzystronne negocjacje miedzy organizacjami rynku pracy i rządem państwa. Ma to zapewnić zyskanie możliwie szerokiej akceptacji zmian wprowadzanych przez różne partie.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  <w:t>Scentralizowana ochrona emerytalna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MELA ubezpiecza przedsiębiorców rolnych, w tym hodowców reniferów, rybaków i</w:t>
      </w:r>
      <w:r w:rsidR="00450218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przedsiębiorców z branży leśnej. W zakres ubezpieczenia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wchodzą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tez biznesowe działania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związane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z rolnictwem. Warunki ubezpieczenia są ustalone w Ustawie o Emeryturach Rolnych. Ubezpieczenie wypadkowe, system wcześniejszych emerytur i zastępstw świąteczno -urlopowych przedsiębiorców rolnych jest ustanowiony w oddzielnym ustawodawstwie.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Strukturalna reforma w rolnictwie przebiegała w Finlandii bardzo aktywnie. MELA ubezpiecza ok. 90 000 przedsiębiorców (tj. 60 000 gospodarstw) ponad 180 000 świadczeniobiorców. Wysoka liczba świadczeniobiorców w stosunku do ubezpieczonych w praktyce oznacza,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ż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e rząd w znacznym stopniu musi partycypować w kosztach systemu. W dodatku, społeczna polityka rolna tez była częścią systemu polityki w zakresie dochodów z rolnictwa, której znaczenie nie zmniejszyło się w trakcie członkostwa Finlandii w UE.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lastRenderedPageBreak/>
        <w:t>MELA jest towarzystwem emerytur zawodowych, powstałym na mocy prawa, co stanowi wyjątek w fińskim zdecentralizowanym systemie zabezpieczenia emerytalnego. W związku z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ta specjalna sytuacja i znaczącym udziałem rządu w pokrywaniu kosztów, przedstawiciele rządu pełnia ważną rolę w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zarządzie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MELA. Ministerstwo Zdrowia i Spraw Społecznych, Ministerstwo Rolnictwa i Ministerstwo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Finansów mają reprezentantów w radzie zarządu. Również reprezentanci ubezpieczonych mają większość w radzie zarządu, tak jak delegacja MELA.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Stan prawny MELA jest silnie oparty na idei,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ż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e działanie może być przeprowadzone skuteczniej pod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względem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kosztów przez jedna spółkę. W tym zakresie MELA odnosiła ogromne powodzenie, jeśli chodzi o roczne wydatki przeznaczone na działalność, co wynosiło zaledwie połowę przeciętnych kosztów funkcjonowania systemu emerytur zawodowych innych przedsiębiorców.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Poza instytucj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centraln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ą, MELA ma regionalna sie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agentów, którzy w głównej mierze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zajmują sie praktyczną obsługą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klientów. Od początku 2006 roku było tam 67 regionalnych agencji i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ponad 300 lokalnych jednostek. W przyszłości MELA skupi sie na rozwoju elektronicznych kanałów usługowych (Internet i serwis telefoniczny).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  <w:t>Troska o tereny wiejskie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Działalność MELA była zapoczątkowana w 1970 r. wraz z zabezpieczeniem emerytury zawodowej. Zadania MELA przez lata rozszerzały sie, np. doszły zadania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związane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z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wcześniejszymi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emeryturami, ubezpieczenie wypadkowe, ochrona pracy i systemy zastępstw świąteczno -urlopowych przedsiębiorców rolnych. Strategiczne działania MELA mają stworzyć dobrobyt w obszarach wiejskich poprzez ogólny system dochodów ubezpieczeń społecznych.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Zapewnienie bezpieczeństwa i usług dostarczanych przez MELA składa się z następujących elementów: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Poprzez </w:t>
      </w: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ochronę zatrudnienia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przedsiębiorcy rolni mają prawnie zagwarantowane otrzymywanie emerytury, renty inwalidzkiej i odpowiedniej rehabilitacji, emerytury zawodowej na 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czę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ść etatu i emerytury dla bezrobotnych odpowiedniej do innych przedsiębiorców i osób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lastRenderedPageBreak/>
        <w:t>pracujących. Zapewnienie bezpieczeństwa obejmuj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e tez grupowe ubezpieczenie na ż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ycie i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emerytury rodzinne.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Świadczenia z tytułu </w:t>
      </w: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ubezpieczenia wypadkowego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obejmują świadczenia dzienne, emerytury, środki na rehabilitacje wynikające z przebytych wypadków i chorób zawodowych. Należy zauważyć, ze inni przedsiębiorcy</w:t>
      </w:r>
      <w:r w:rsidR="007F629A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nie są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objęci obowiązkowym ubezpieczeniem od wypadku.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Przez emerytalny </w:t>
      </w: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system wcześniejszych emerytur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(niewymagane inwalidztwo) wspierana jest rekrutacja młodych przedsiębiorców rolnych do działania w rolnictwie i prowadzenia biznesu w gospodarstwie. Inny kluczowy aspekt to promowanie strukturalnego rozwoju rolnictwa.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b/>
          <w:color w:val="262626" w:themeColor="text1" w:themeTint="D9"/>
          <w:sz w:val="20"/>
          <w:szCs w:val="20"/>
        </w:rPr>
        <w:t>Rolniczy system zastępstw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zabezpiecza specjalne prawa przedsiębiorców rolnych kontynuujących hodowle </w:t>
      </w:r>
      <w:r w:rsidR="00DD78C4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zwierząt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do rocznego urlopu i </w:t>
      </w:r>
      <w:r w:rsidR="00DD78C4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zastępstw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podczas choroby.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By być objętym przez wspominane wyżej ubezpieczenie przedsiębiorca musi mieć ważne ubezpieczenie i odprowadzać składki stosownie do Ustawy o Emeryturach Rolniczych i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Ubezpieczeniach Wypadkowych.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  <w:t>Finansowanie systemu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Podstawy finansowania systemu świadczeń zarządzanego przez MELA zostały określone w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ustawodawstwie. Finansowanie systemu świadczeń obejmuje trzy główne kategorie: 1) system emerytur zawodowych 2) system wypadkowy i 3) system zastępstw urlopowo-wakacyjnych.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Italic"/>
          <w:b/>
          <w:bCs/>
          <w:i/>
          <w:iCs/>
          <w:color w:val="262626" w:themeColor="text1" w:themeTint="D9"/>
          <w:sz w:val="20"/>
          <w:szCs w:val="20"/>
        </w:rPr>
        <w:t xml:space="preserve">Wypadki w pracy i choroby zawodowe: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32% samofinansowanie - 28%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Państwo - 40% pokrywa fundusz z ogólnego systemu ubezpieczenia Społecznego.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b/>
          <w:i/>
          <w:color w:val="262626" w:themeColor="text1" w:themeTint="D9"/>
          <w:sz w:val="20"/>
          <w:szCs w:val="20"/>
        </w:rPr>
        <w:t>Emerytury i rodzina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: 25% samofinansowanie - 75% Państwo (wyłączając system rolniczych zastępstw wakacyjnych).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450218" w:rsidRDefault="00450218" w:rsidP="002374F4">
      <w:pPr>
        <w:spacing w:after="0" w:line="360" w:lineRule="auto"/>
        <w:jc w:val="both"/>
        <w:rPr>
          <w:rFonts w:ascii="Century Gothic" w:hAnsi="Century Gothic"/>
          <w:b/>
          <w:color w:val="262626" w:themeColor="text1" w:themeTint="D9"/>
          <w:sz w:val="20"/>
          <w:szCs w:val="20"/>
        </w:rPr>
      </w:pPr>
    </w:p>
    <w:p w:rsidR="00450218" w:rsidRDefault="00450218" w:rsidP="002374F4">
      <w:pPr>
        <w:spacing w:after="0" w:line="360" w:lineRule="auto"/>
        <w:jc w:val="both"/>
        <w:rPr>
          <w:rFonts w:ascii="Century Gothic" w:hAnsi="Century Gothic"/>
          <w:b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BoldItalic"/>
          <w:b/>
          <w:bCs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/>
          <w:b/>
          <w:color w:val="262626" w:themeColor="text1" w:themeTint="D9"/>
          <w:sz w:val="20"/>
          <w:szCs w:val="20"/>
        </w:rPr>
        <w:t>Fi</w:t>
      </w:r>
      <w:r w:rsidRPr="004B289A">
        <w:rPr>
          <w:rFonts w:ascii="Century Gothic" w:hAnsi="Century Gothic" w:cs="ArialMT-BoldItalic"/>
          <w:b/>
          <w:bCs/>
          <w:iCs/>
          <w:color w:val="262626" w:themeColor="text1" w:themeTint="D9"/>
          <w:sz w:val="20"/>
          <w:szCs w:val="20"/>
        </w:rPr>
        <w:t>ński system ubezpieczenia społecznego</w:t>
      </w:r>
    </w:p>
    <w:p w:rsidR="002374F4" w:rsidRPr="004B289A" w:rsidRDefault="002374F4" w:rsidP="002374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Italic"/>
          <w:bCs/>
          <w:iCs/>
          <w:color w:val="262626" w:themeColor="text1" w:themeTint="D9"/>
          <w:sz w:val="20"/>
          <w:szCs w:val="20"/>
        </w:rPr>
        <w:lastRenderedPageBreak/>
        <w:t>Podstawowe</w:t>
      </w:r>
      <w:r w:rsidRPr="004B289A">
        <w:rPr>
          <w:rFonts w:ascii="Century Gothic" w:hAnsi="Century Gothic" w:cs="ArialMT-BoldItalic"/>
          <w:b/>
          <w:bCs/>
          <w:i/>
          <w:iCs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krajowe ubezpieczenie społeczne dla wszystkich mieszkańców </w:t>
      </w: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Finansowane przez składki, kt</w:t>
      </w:r>
      <w:r w:rsidR="00DD78C4"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óre są</w:t>
      </w: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 xml:space="preserve"> pobierane w podobny sposób, co państwowy podatek dochodowy</w:t>
      </w:r>
      <w:r w:rsidR="00DD78C4" w:rsidRPr="004B289A">
        <w:rPr>
          <w:rFonts w:ascii="Century Gothic" w:hAnsi="Century Gothic" w:cs="ArialMT-NormalItalic"/>
          <w:iCs/>
          <w:color w:val="262626" w:themeColor="text1" w:themeTint="D9"/>
          <w:sz w:val="20"/>
          <w:szCs w:val="20"/>
        </w:rPr>
        <w:t xml:space="preserve">. </w:t>
      </w:r>
    </w:p>
    <w:p w:rsidR="002374F4" w:rsidRPr="004B289A" w:rsidRDefault="002374F4" w:rsidP="002374F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Wpływy powiązane z ubezpieczeniem społecznym</w:t>
      </w:r>
    </w:p>
    <w:p w:rsidR="002374F4" w:rsidRPr="004B289A" w:rsidRDefault="002374F4" w:rsidP="002374F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System rolniczego ubezpieczenia społecznego jest częścią tego systemu</w:t>
      </w:r>
    </w:p>
    <w:p w:rsidR="002374F4" w:rsidRPr="004B289A" w:rsidRDefault="00DD78C4" w:rsidP="002374F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Składki są</w:t>
      </w:r>
      <w:r w:rsidR="002374F4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pobierane przez Mela</w:t>
      </w:r>
    </w:p>
    <w:p w:rsidR="002374F4" w:rsidRPr="004B289A" w:rsidRDefault="002374F4" w:rsidP="002374F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15% od rolników</w:t>
      </w:r>
    </w:p>
    <w:p w:rsidR="002374F4" w:rsidRPr="004B289A" w:rsidRDefault="002374F4" w:rsidP="002374F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75% z budżetu państwa</w:t>
      </w:r>
    </w:p>
    <w:p w:rsidR="002374F4" w:rsidRPr="004B289A" w:rsidRDefault="002374F4" w:rsidP="002374F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10% z innych źródeł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i/>
          <w:color w:val="262626" w:themeColor="text1" w:themeTint="D9"/>
          <w:sz w:val="20"/>
          <w:szCs w:val="20"/>
        </w:rPr>
        <w:t>F</w:t>
      </w: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inansowanie systemu emerytur zawodowych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/>
          <w:color w:val="262626" w:themeColor="text1" w:themeTint="D9"/>
          <w:sz w:val="20"/>
          <w:szCs w:val="20"/>
        </w:rPr>
        <w:t>F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inansowanie rolniczego systemu emerytur zawodowych przedsiębiorców bazuje na osobistym dochodzie z pracy każdego przedsiębiorcy, wysokości rat składki na emerytury zawodowe ogólnego systemu i na rolniczym systemie o obniżonej wartości składki dla przedsiębiorców. Różnica miedzy faktycznym kosztem emerytury a dochodem ze składek jest opłacana przez rząd.</w:t>
      </w:r>
    </w:p>
    <w:p w:rsidR="002374F4" w:rsidRPr="004B289A" w:rsidRDefault="002374F4" w:rsidP="002374F4">
      <w:pPr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Ogólna rata składki jest przyjęta na dany rok przez Ministerstwo Spraw Społecznych i Zdrowia; </w:t>
      </w:r>
      <w:r w:rsidR="00A341B0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wynosi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ona około 21,0% poborów. Przedsiębiorcy rolni płaca, zgodnie z rocznym dochodem z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pracy około 20 000 EURO, połowę wysokości składki i z dochodu z pracy przewyższającego powyższą sumę, rata składki wzrasta stopniowo do ogólnej składki ubezpieczeniowej. Z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powodu</w:t>
      </w:r>
      <w:r w:rsidR="00A341B0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względnie niskiego poziomu dochodu, stosunek składki przedsiębiorców rolnych w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praktyce wynosi 11,0 % dochodu z pracy. Odpowiednio większy udział w spłacie składek ma rząd. Wysokość obniżonej wartości składki jest zarządzana regulaminowo.</w:t>
      </w:r>
    </w:p>
    <w:p w:rsidR="00A341B0" w:rsidRPr="004B289A" w:rsidRDefault="00A341B0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Finansowanie systemu wypadkowego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Przedsiębiorcy</w:t>
      </w:r>
      <w:r w:rsidR="00A341B0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rolni płacą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około jednej trzeciej części kosztów obowiązkowego ubezpieczenia wypadkowego za godzinę pracy. Składka ubezpieczeniowa jest obliczana na podstawie uzyskanego rocznego dochodu; rata składki ubezpieczeniowej wynosi około 2,4 %. Ubezpieczenie wypadkowe na czas wolny od pracy jest całkowicie finansowane ze składki ubezpieczeniowej. System składek ubezpieczeniowych jest rezerwowym systemem funduszu.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"/>
          <w:i/>
          <w:color w:val="262626" w:themeColor="text1" w:themeTint="D9"/>
          <w:sz w:val="20"/>
          <w:szCs w:val="20"/>
        </w:rPr>
        <w:lastRenderedPageBreak/>
        <w:t>F</w:t>
      </w: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inansowanie systemu zastępstw w okresie urlopowo- świątecznym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NormalItalic"/>
          <w:i/>
          <w:iCs/>
          <w:color w:val="262626" w:themeColor="text1" w:themeTint="D9"/>
          <w:sz w:val="20"/>
          <w:szCs w:val="20"/>
        </w:rPr>
        <w:t>R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ząd jest odpowiedzialny za finansowanie corocznych wakacji, urlopów i świąt. Koszty zastępstw, spowodowane chorob</w:t>
      </w:r>
      <w:r w:rsidR="00A341B0"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ą albo krótkoterminową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 xml:space="preserve"> niemożnością przystąpienia do pracy, których składka oparta jest o wysokość dochodu z pracy, jest pobierana od przedsiębiorców rolnych. Różnica pomiędzy aktualnymi kosztami emerytur a dodatkowym dochodem jest pokrywana przez rząd.</w:t>
      </w: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"/>
          <w:color w:val="262626" w:themeColor="text1" w:themeTint="D9"/>
          <w:sz w:val="20"/>
          <w:szCs w:val="20"/>
        </w:rPr>
      </w:pPr>
    </w:p>
    <w:p w:rsidR="002374F4" w:rsidRPr="004B289A" w:rsidRDefault="002374F4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  <w:r w:rsidRPr="004B289A"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  <w:t>Rozwój współpracy</w:t>
      </w:r>
    </w:p>
    <w:p w:rsidR="00A341B0" w:rsidRPr="004B289A" w:rsidRDefault="00A341B0" w:rsidP="002374F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MT-Bold"/>
          <w:b/>
          <w:bCs/>
          <w:color w:val="262626" w:themeColor="text1" w:themeTint="D9"/>
          <w:sz w:val="20"/>
          <w:szCs w:val="20"/>
        </w:rPr>
      </w:pPr>
    </w:p>
    <w:p w:rsidR="002374F4" w:rsidRPr="004B289A" w:rsidRDefault="002374F4" w:rsidP="000F741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b/>
          <w:color w:val="262626" w:themeColor="text1" w:themeTint="D9"/>
        </w:rPr>
      </w:pPr>
      <w:r w:rsidRPr="004B289A">
        <w:rPr>
          <w:rFonts w:ascii="Century Gothic" w:hAnsi="Century Gothic" w:cs="ArialMT-Bold"/>
          <w:bCs/>
          <w:color w:val="262626" w:themeColor="text1" w:themeTint="D9"/>
          <w:sz w:val="20"/>
          <w:szCs w:val="20"/>
        </w:rPr>
        <w:t>M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ELA jest stałym uczestnikiem współpracy w dziedzinie zabezpieczenia emerytur przedsiębiorców rolnych, bierze udział w rozwoju współpracy z rządem i organizacjami zrzeszającymi przedsiębiorców rolnych. Uczestniczy w sieci grup zainteresowań reprezentujących inne ubezpieczenia emerytalne, agencje rządowe i samych ubezpieczonych. MELA pełni role eksperta w procesie legislacji i współpracuje z jednostkami z</w:t>
      </w:r>
      <w:r w:rsidR="00C32235">
        <w:rPr>
          <w:rFonts w:ascii="Century Gothic" w:hAnsi="Century Gothic" w:cs="ArialMT"/>
          <w:color w:val="262626" w:themeColor="text1" w:themeTint="D9"/>
          <w:sz w:val="20"/>
          <w:szCs w:val="20"/>
        </w:rPr>
        <w:t> </w:t>
      </w:r>
      <w:r w:rsidRPr="004B289A">
        <w:rPr>
          <w:rFonts w:ascii="Century Gothic" w:hAnsi="Century Gothic" w:cs="ArialMT"/>
          <w:color w:val="262626" w:themeColor="text1" w:themeTint="D9"/>
          <w:sz w:val="20"/>
          <w:szCs w:val="20"/>
        </w:rPr>
        <w:t>sektora ubezpieczenia społecznego.</w:t>
      </w:r>
      <w:bookmarkStart w:id="0" w:name="_GoBack"/>
      <w:bookmarkEnd w:id="0"/>
    </w:p>
    <w:sectPr w:rsidR="002374F4" w:rsidRPr="004B289A" w:rsidSect="00A5715C">
      <w:headerReference w:type="default" r:id="rId9"/>
      <w:footerReference w:type="default" r:id="rId10"/>
      <w:pgSz w:w="11906" w:h="16838"/>
      <w:pgMar w:top="238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65" w:rsidRDefault="00544F65" w:rsidP="00E00A12">
      <w:pPr>
        <w:spacing w:after="0" w:line="240" w:lineRule="auto"/>
      </w:pPr>
      <w:r>
        <w:separator/>
      </w:r>
    </w:p>
  </w:endnote>
  <w:endnote w:type="continuationSeparator" w:id="0">
    <w:p w:rsidR="00544F65" w:rsidRDefault="00544F65" w:rsidP="00E00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-Normal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597"/>
      <w:docPartObj>
        <w:docPartGallery w:val="Page Numbers (Bottom of Page)"/>
        <w:docPartUnique/>
      </w:docPartObj>
    </w:sdtPr>
    <w:sdtEndPr/>
    <w:sdtContent>
      <w:p w:rsidR="00544F65" w:rsidRDefault="000F741F" w:rsidP="00544F6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44F65" w:rsidRDefault="00544F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65" w:rsidRDefault="00544F65" w:rsidP="00E00A12">
      <w:pPr>
        <w:spacing w:after="0" w:line="240" w:lineRule="auto"/>
      </w:pPr>
      <w:r>
        <w:separator/>
      </w:r>
    </w:p>
  </w:footnote>
  <w:footnote w:type="continuationSeparator" w:id="0">
    <w:p w:rsidR="00544F65" w:rsidRDefault="00544F65" w:rsidP="00E00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F65" w:rsidRPr="00A06198" w:rsidRDefault="00544F65" w:rsidP="00A5715C">
    <w:pPr>
      <w:pStyle w:val="Akapitzlist"/>
      <w:tabs>
        <w:tab w:val="left" w:pos="1860"/>
      </w:tabs>
      <w:ind w:left="0"/>
      <w:jc w:val="center"/>
      <w:rPr>
        <w:rFonts w:ascii="Times New Roman" w:hAnsi="Times New Roman"/>
        <w:sz w:val="16"/>
        <w:szCs w:val="16"/>
      </w:rPr>
    </w:pPr>
    <w:r w:rsidRPr="00A06198">
      <w:rPr>
        <w:rFonts w:ascii="Times New Roman" w:hAnsi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1109980</wp:posOffset>
          </wp:positionH>
          <wp:positionV relativeFrom="paragraph">
            <wp:posOffset>-240030</wp:posOffset>
          </wp:positionV>
          <wp:extent cx="581025" cy="581025"/>
          <wp:effectExtent l="19050" t="0" r="9525" b="0"/>
          <wp:wrapTight wrapText="bothSides">
            <wp:wrapPolygon edited="0">
              <wp:start x="-708" y="0"/>
              <wp:lineTo x="-708" y="21246"/>
              <wp:lineTo x="21954" y="21246"/>
              <wp:lineTo x="21954" y="0"/>
              <wp:lineTo x="-708" y="0"/>
            </wp:wrapPolygon>
          </wp:wrapTight>
          <wp:docPr id="2" name="Obraz 1" descr="MRIR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IR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06198">
      <w:rPr>
        <w:rFonts w:ascii="Times New Roman" w:hAnsi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-220980</wp:posOffset>
          </wp:positionV>
          <wp:extent cx="1333500" cy="581025"/>
          <wp:effectExtent l="19050" t="0" r="0" b="0"/>
          <wp:wrapNone/>
          <wp:docPr id="7" name="Obraz 6" descr="P:\KSOW\LOGA\loga jpg\logo_UE_niebie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P:\KSOW\LOGA\loga jpg\logo_UE_niebiesk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6198">
      <w:rPr>
        <w:rFonts w:ascii="Times New Roman" w:hAnsi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3729355</wp:posOffset>
          </wp:positionH>
          <wp:positionV relativeFrom="paragraph">
            <wp:posOffset>-192405</wp:posOffset>
          </wp:positionV>
          <wp:extent cx="1028700" cy="504825"/>
          <wp:effectExtent l="19050" t="0" r="0" b="0"/>
          <wp:wrapTight wrapText="bothSides">
            <wp:wrapPolygon edited="0">
              <wp:start x="-400" y="0"/>
              <wp:lineTo x="-400" y="21192"/>
              <wp:lineTo x="21600" y="21192"/>
              <wp:lineTo x="21600" y="0"/>
              <wp:lineTo x="-4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6198">
      <w:rPr>
        <w:rFonts w:ascii="Times New Roman" w:hAnsi="Times New Roman"/>
        <w:noProof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1995805</wp:posOffset>
          </wp:positionH>
          <wp:positionV relativeFrom="paragraph">
            <wp:posOffset>-240030</wp:posOffset>
          </wp:positionV>
          <wp:extent cx="1400175" cy="552450"/>
          <wp:effectExtent l="19050" t="0" r="9525" b="0"/>
          <wp:wrapTight wrapText="bothSides">
            <wp:wrapPolygon edited="0">
              <wp:start x="-294" y="0"/>
              <wp:lineTo x="-294" y="20855"/>
              <wp:lineTo x="21747" y="20855"/>
              <wp:lineTo x="21747" y="0"/>
              <wp:lineTo x="-294" y="0"/>
            </wp:wrapPolygon>
          </wp:wrapTight>
          <wp:docPr id="4" name="Obraz 3" descr="KS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OW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017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06198">
      <w:rPr>
        <w:rFonts w:ascii="Times New Roman" w:hAnsi="Times New Roman"/>
        <w:noProof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4958080</wp:posOffset>
          </wp:positionH>
          <wp:positionV relativeFrom="paragraph">
            <wp:posOffset>-316230</wp:posOffset>
          </wp:positionV>
          <wp:extent cx="1080135" cy="685800"/>
          <wp:effectExtent l="19050" t="0" r="5715" b="0"/>
          <wp:wrapTight wrapText="bothSides">
            <wp:wrapPolygon edited="0">
              <wp:start x="-381" y="0"/>
              <wp:lineTo x="-381" y="21000"/>
              <wp:lineTo x="21714" y="21000"/>
              <wp:lineTo x="21714" y="0"/>
              <wp:lineTo x="-381" y="0"/>
            </wp:wrapPolygon>
          </wp:wrapTight>
          <wp:docPr id="5" name="Obraz 4" descr="P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8013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44F65" w:rsidRPr="00A06198" w:rsidRDefault="00544F65" w:rsidP="00A5715C">
    <w:pPr>
      <w:pStyle w:val="Akapitzlist"/>
      <w:tabs>
        <w:tab w:val="left" w:pos="1860"/>
      </w:tabs>
      <w:ind w:left="0"/>
      <w:jc w:val="center"/>
      <w:rPr>
        <w:rFonts w:ascii="Times New Roman" w:hAnsi="Times New Roman"/>
        <w:sz w:val="16"/>
        <w:szCs w:val="16"/>
      </w:rPr>
    </w:pPr>
  </w:p>
  <w:p w:rsidR="00544F65" w:rsidRPr="00A06198" w:rsidRDefault="00544F65" w:rsidP="00A5715C">
    <w:pPr>
      <w:pStyle w:val="Akapitzlist"/>
      <w:tabs>
        <w:tab w:val="left" w:pos="1860"/>
      </w:tabs>
      <w:ind w:left="0"/>
      <w:jc w:val="center"/>
      <w:rPr>
        <w:rFonts w:ascii="Arial Narrow" w:hAnsi="Arial Narrow"/>
        <w:sz w:val="16"/>
        <w:szCs w:val="16"/>
      </w:rPr>
    </w:pPr>
    <w:r w:rsidRPr="00A06198">
      <w:rPr>
        <w:rFonts w:ascii="Arial Narrow" w:hAnsi="Arial Narrow"/>
        <w:sz w:val="16"/>
        <w:szCs w:val="16"/>
      </w:rPr>
      <w:br/>
    </w:r>
    <w:r>
      <w:rPr>
        <w:rFonts w:ascii="Arial Narrow" w:hAnsi="Arial Narrow"/>
        <w:sz w:val="16"/>
        <w:szCs w:val="16"/>
      </w:rPr>
      <w:br/>
    </w:r>
    <w:r w:rsidRPr="00A06198">
      <w:rPr>
        <w:rFonts w:ascii="Arial Narrow" w:hAnsi="Arial Narrow"/>
        <w:sz w:val="16"/>
        <w:szCs w:val="16"/>
      </w:rPr>
      <w:t>„Europejski Fundusz Rolny na rzecz Rozwoju Obszarów Wiejskich: Europa inwestująca w obszary wiejskie.”</w:t>
    </w:r>
  </w:p>
  <w:p w:rsidR="00544F65" w:rsidRPr="00A06198" w:rsidRDefault="00544F65" w:rsidP="00A5715C">
    <w:pPr>
      <w:pStyle w:val="Akapitzlist"/>
      <w:tabs>
        <w:tab w:val="left" w:pos="1860"/>
      </w:tabs>
      <w:ind w:left="0"/>
      <w:jc w:val="center"/>
      <w:rPr>
        <w:rFonts w:ascii="Arial Narrow" w:hAnsi="Arial Narrow"/>
        <w:sz w:val="16"/>
        <w:szCs w:val="16"/>
      </w:rPr>
    </w:pPr>
    <w:r w:rsidRPr="00A06198">
      <w:rPr>
        <w:rFonts w:ascii="Arial Narrow" w:hAnsi="Arial Narrow"/>
        <w:sz w:val="16"/>
        <w:szCs w:val="16"/>
      </w:rPr>
      <w:t>Projekt opracowany przez Podlaską Izbę Rolniczą</w:t>
    </w:r>
  </w:p>
  <w:p w:rsidR="00544F65" w:rsidRPr="00A06198" w:rsidRDefault="00544F65" w:rsidP="00A5715C">
    <w:pPr>
      <w:pStyle w:val="Akapitzlist"/>
      <w:tabs>
        <w:tab w:val="left" w:pos="1860"/>
      </w:tabs>
      <w:spacing w:after="0"/>
      <w:ind w:left="0"/>
      <w:jc w:val="center"/>
      <w:rPr>
        <w:rFonts w:ascii="Arial Narrow" w:hAnsi="Arial Narrow"/>
        <w:sz w:val="16"/>
        <w:szCs w:val="16"/>
      </w:rPr>
    </w:pPr>
    <w:r w:rsidRPr="00A06198">
      <w:rPr>
        <w:rFonts w:ascii="Arial Narrow" w:hAnsi="Arial Narrow"/>
        <w:sz w:val="16"/>
        <w:szCs w:val="16"/>
      </w:rPr>
      <w:t>Projekt współfinansowany ze środków Unii Europejskiej w ramach Pomocy Technicznej Programu Rozwoju Obszarów Wiejskich na lata 2007-2013</w:t>
    </w:r>
  </w:p>
  <w:p w:rsidR="00544F65" w:rsidRDefault="00544F65" w:rsidP="00A5715C">
    <w:pPr>
      <w:jc w:val="center"/>
      <w:rPr>
        <w:rFonts w:ascii="Arial Narrow" w:hAnsi="Arial Narrow"/>
        <w:sz w:val="16"/>
        <w:szCs w:val="16"/>
      </w:rPr>
    </w:pPr>
    <w:r w:rsidRPr="00A06198">
      <w:rPr>
        <w:rFonts w:ascii="Arial Narrow" w:hAnsi="Arial Narrow"/>
        <w:sz w:val="16"/>
        <w:szCs w:val="16"/>
      </w:rPr>
      <w:t>Instytucja Zarządzająca Programem Rozwoju Obszarów Wiejskich na lata 2007-2013 - Minister Rolnictwa i Rozwoju Wsi</w:t>
    </w:r>
  </w:p>
  <w:p w:rsidR="00544F65" w:rsidRPr="00A06198" w:rsidRDefault="00544F65" w:rsidP="00A5715C">
    <w:pPr>
      <w:jc w:val="center"/>
      <w:rPr>
        <w:rFonts w:ascii="Arial Narrow" w:hAnsi="Arial Narrow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F2483"/>
    <w:multiLevelType w:val="hybridMultilevel"/>
    <w:tmpl w:val="487C23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3995987"/>
    <w:multiLevelType w:val="hybridMultilevel"/>
    <w:tmpl w:val="B9966754"/>
    <w:lvl w:ilvl="0" w:tplc="A4E6BED6">
      <w:start w:val="1"/>
      <w:numFmt w:val="decimal"/>
      <w:lvlText w:val="%1."/>
      <w:lvlJc w:val="left"/>
      <w:pPr>
        <w:ind w:left="720" w:hanging="360"/>
      </w:pPr>
      <w:rPr>
        <w:rFonts w:ascii="ArialMT-BoldItalic" w:hAnsi="ArialMT-BoldItalic" w:cs="ArialMT-BoldItalic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F4265"/>
    <w:multiLevelType w:val="hybridMultilevel"/>
    <w:tmpl w:val="BD5E48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E343F"/>
    <w:multiLevelType w:val="hybridMultilevel"/>
    <w:tmpl w:val="75A480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E54E3"/>
    <w:multiLevelType w:val="hybridMultilevel"/>
    <w:tmpl w:val="775A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03CB7"/>
    <w:multiLevelType w:val="hybridMultilevel"/>
    <w:tmpl w:val="E200C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161E0B"/>
    <w:multiLevelType w:val="hybridMultilevel"/>
    <w:tmpl w:val="863EA2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1498B"/>
    <w:multiLevelType w:val="hybridMultilevel"/>
    <w:tmpl w:val="68DE68D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7C11B9"/>
    <w:multiLevelType w:val="hybridMultilevel"/>
    <w:tmpl w:val="40848C08"/>
    <w:lvl w:ilvl="0" w:tplc="F5FC4C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D24"/>
    <w:rsid w:val="000650BA"/>
    <w:rsid w:val="00075109"/>
    <w:rsid w:val="000B1364"/>
    <w:rsid w:val="000F741F"/>
    <w:rsid w:val="001A1C19"/>
    <w:rsid w:val="002374F4"/>
    <w:rsid w:val="002C2847"/>
    <w:rsid w:val="0038642A"/>
    <w:rsid w:val="00450218"/>
    <w:rsid w:val="004B289A"/>
    <w:rsid w:val="00544F65"/>
    <w:rsid w:val="00616E1A"/>
    <w:rsid w:val="0064397B"/>
    <w:rsid w:val="00666018"/>
    <w:rsid w:val="00716EEF"/>
    <w:rsid w:val="007F0CAD"/>
    <w:rsid w:val="007F629A"/>
    <w:rsid w:val="008B1F4F"/>
    <w:rsid w:val="00927077"/>
    <w:rsid w:val="00A06198"/>
    <w:rsid w:val="00A341B0"/>
    <w:rsid w:val="00A5715C"/>
    <w:rsid w:val="00AA291A"/>
    <w:rsid w:val="00AE78CA"/>
    <w:rsid w:val="00B75A0C"/>
    <w:rsid w:val="00C32235"/>
    <w:rsid w:val="00C410D2"/>
    <w:rsid w:val="00C47DCF"/>
    <w:rsid w:val="00D01557"/>
    <w:rsid w:val="00DB7C22"/>
    <w:rsid w:val="00DD78C4"/>
    <w:rsid w:val="00E00A12"/>
    <w:rsid w:val="00F53D24"/>
    <w:rsid w:val="00F9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5A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53D24"/>
    <w:pPr>
      <w:ind w:left="720"/>
      <w:contextualSpacing/>
    </w:pPr>
  </w:style>
  <w:style w:type="table" w:styleId="Tabela-Siatka">
    <w:name w:val="Table Grid"/>
    <w:basedOn w:val="Standardowy"/>
    <w:uiPriority w:val="59"/>
    <w:rsid w:val="00F53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E0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0A12"/>
  </w:style>
  <w:style w:type="paragraph" w:styleId="Stopka">
    <w:name w:val="footer"/>
    <w:basedOn w:val="Normalny"/>
    <w:link w:val="StopkaZnak"/>
    <w:uiPriority w:val="99"/>
    <w:unhideWhenUsed/>
    <w:rsid w:val="00E0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A12"/>
  </w:style>
  <w:style w:type="paragraph" w:styleId="Tekstdymka">
    <w:name w:val="Balloon Text"/>
    <w:basedOn w:val="Normalny"/>
    <w:link w:val="TekstdymkaZnak"/>
    <w:uiPriority w:val="99"/>
    <w:semiHidden/>
    <w:unhideWhenUsed/>
    <w:rsid w:val="00E0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4DFAF-1590-4D8E-AECD-EE5722521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1399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Agata Markuszewska</cp:lastModifiedBy>
  <cp:revision>7</cp:revision>
  <cp:lastPrinted>2015-06-14T12:17:00Z</cp:lastPrinted>
  <dcterms:created xsi:type="dcterms:W3CDTF">2015-06-10T14:01:00Z</dcterms:created>
  <dcterms:modified xsi:type="dcterms:W3CDTF">2015-08-12T12:01:00Z</dcterms:modified>
</cp:coreProperties>
</file>