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9" w:type="dxa"/>
        <w:tblInd w:w="108" w:type="dxa"/>
        <w:tblLook w:val="01E0" w:firstRow="1" w:lastRow="1" w:firstColumn="1" w:lastColumn="1" w:noHBand="0" w:noVBand="0"/>
      </w:tblPr>
      <w:tblGrid>
        <w:gridCol w:w="1607"/>
        <w:gridCol w:w="1077"/>
        <w:gridCol w:w="2739"/>
        <w:gridCol w:w="2028"/>
        <w:gridCol w:w="1628"/>
      </w:tblGrid>
      <w:tr w:rsidR="00FB3980" w:rsidTr="005B335E">
        <w:trPr>
          <w:trHeight w:val="1162"/>
        </w:trPr>
        <w:tc>
          <w:tcPr>
            <w:tcW w:w="1607" w:type="dxa"/>
            <w:tcBorders>
              <w:top w:val="single" w:sz="4" w:space="0" w:color="FFFFFF"/>
              <w:left w:val="single" w:sz="4" w:space="0" w:color="FFFFFF"/>
              <w:bottom w:val="single" w:sz="4" w:space="0" w:color="FFFFFF"/>
              <w:right w:val="single" w:sz="4" w:space="0" w:color="FFFFFF"/>
            </w:tcBorders>
            <w:vAlign w:val="center"/>
          </w:tcPr>
          <w:p w:rsidR="00FB3980" w:rsidRPr="002F7344" w:rsidRDefault="00FB3980" w:rsidP="005B335E">
            <w:pPr>
              <w:pStyle w:val="Akapitzlist5"/>
              <w:tabs>
                <w:tab w:val="left" w:pos="1860"/>
              </w:tabs>
              <w:spacing w:line="360" w:lineRule="auto"/>
              <w:ind w:left="0"/>
              <w:jc w:val="center"/>
              <w:rPr>
                <w:rFonts w:ascii="Sylfaen" w:hAnsi="Sylfaen"/>
              </w:rPr>
            </w:pPr>
            <w:r>
              <w:rPr>
                <w:b/>
                <w:noProof/>
              </w:rPr>
              <w:drawing>
                <wp:inline distT="0" distB="0" distL="0" distR="0">
                  <wp:extent cx="819150" cy="57785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a:stretch>
                            <a:fillRect/>
                          </a:stretch>
                        </pic:blipFill>
                        <pic:spPr bwMode="auto">
                          <a:xfrm>
                            <a:off x="0" y="0"/>
                            <a:ext cx="819150" cy="577850"/>
                          </a:xfrm>
                          <a:prstGeom prst="rect">
                            <a:avLst/>
                          </a:prstGeom>
                          <a:noFill/>
                          <a:ln w="9525">
                            <a:noFill/>
                            <a:miter lim="800000"/>
                            <a:headEnd/>
                            <a:tailEnd/>
                          </a:ln>
                        </pic:spPr>
                      </pic:pic>
                    </a:graphicData>
                  </a:graphic>
                </wp:inline>
              </w:drawing>
            </w:r>
          </w:p>
        </w:tc>
        <w:tc>
          <w:tcPr>
            <w:tcW w:w="1077" w:type="dxa"/>
            <w:tcBorders>
              <w:top w:val="single" w:sz="4" w:space="0" w:color="FFFFFF"/>
              <w:left w:val="single" w:sz="4" w:space="0" w:color="FFFFFF"/>
              <w:bottom w:val="single" w:sz="4" w:space="0" w:color="FFFFFF"/>
              <w:right w:val="single" w:sz="4" w:space="0" w:color="FFFFFF"/>
            </w:tcBorders>
            <w:vAlign w:val="center"/>
          </w:tcPr>
          <w:p w:rsidR="00FB3980" w:rsidRPr="002F7344" w:rsidRDefault="00FB3980" w:rsidP="005B335E">
            <w:pPr>
              <w:pStyle w:val="Akapitzlist5"/>
              <w:tabs>
                <w:tab w:val="left" w:pos="1860"/>
              </w:tabs>
              <w:spacing w:line="360" w:lineRule="auto"/>
              <w:ind w:left="0"/>
              <w:jc w:val="center"/>
              <w:rPr>
                <w:rFonts w:ascii="Sylfaen" w:hAnsi="Sylfaen"/>
              </w:rPr>
            </w:pPr>
            <w:r>
              <w:rPr>
                <w:noProof/>
              </w:rPr>
              <w:drawing>
                <wp:inline distT="0" distB="0" distL="0" distR="0">
                  <wp:extent cx="519430" cy="519430"/>
                  <wp:effectExtent l="19050" t="0" r="0" b="0"/>
                  <wp:docPr id="2" name="Obraz 3" descr="log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in"/>
                          <pic:cNvPicPr>
                            <a:picLocks noChangeAspect="1" noChangeArrowheads="1"/>
                          </pic:cNvPicPr>
                        </pic:nvPicPr>
                        <pic:blipFill>
                          <a:blip r:embed="rId10" cstate="print"/>
                          <a:srcRect/>
                          <a:stretch>
                            <a:fillRect/>
                          </a:stretch>
                        </pic:blipFill>
                        <pic:spPr bwMode="auto">
                          <a:xfrm>
                            <a:off x="0" y="0"/>
                            <a:ext cx="522274" cy="519379"/>
                          </a:xfrm>
                          <a:prstGeom prst="rect">
                            <a:avLst/>
                          </a:prstGeom>
                          <a:noFill/>
                          <a:ln w="9525">
                            <a:noFill/>
                            <a:miter lim="800000"/>
                            <a:headEnd/>
                            <a:tailEnd/>
                          </a:ln>
                        </pic:spPr>
                      </pic:pic>
                    </a:graphicData>
                  </a:graphic>
                </wp:inline>
              </w:drawing>
            </w:r>
          </w:p>
        </w:tc>
        <w:tc>
          <w:tcPr>
            <w:tcW w:w="2739" w:type="dxa"/>
            <w:tcBorders>
              <w:top w:val="single" w:sz="4" w:space="0" w:color="FFFFFF"/>
              <w:left w:val="single" w:sz="4" w:space="0" w:color="FFFFFF"/>
              <w:bottom w:val="single" w:sz="4" w:space="0" w:color="FFFFFF"/>
              <w:right w:val="single" w:sz="4" w:space="0" w:color="FFFFFF"/>
            </w:tcBorders>
            <w:vAlign w:val="center"/>
          </w:tcPr>
          <w:p w:rsidR="00FB3980" w:rsidRPr="002F7344" w:rsidRDefault="00FB3980" w:rsidP="005B335E">
            <w:pPr>
              <w:pStyle w:val="Akapitzlist5"/>
              <w:tabs>
                <w:tab w:val="left" w:pos="1860"/>
              </w:tabs>
              <w:spacing w:line="360" w:lineRule="auto"/>
              <w:ind w:left="0"/>
              <w:jc w:val="center"/>
              <w:rPr>
                <w:rFonts w:ascii="Sylfaen" w:hAnsi="Sylfaen"/>
              </w:rPr>
            </w:pPr>
            <w:r>
              <w:rPr>
                <w:noProof/>
              </w:rPr>
              <w:drawing>
                <wp:inline distT="0" distB="0" distL="0" distR="0">
                  <wp:extent cx="1579880" cy="592455"/>
                  <wp:effectExtent l="19050" t="0" r="1270" b="0"/>
                  <wp:docPr id="3" name="Obraz 3" descr="KSOW_teks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SOW_tekst_transparent"/>
                          <pic:cNvPicPr>
                            <a:picLocks noChangeAspect="1" noChangeArrowheads="1"/>
                          </pic:cNvPicPr>
                        </pic:nvPicPr>
                        <pic:blipFill>
                          <a:blip r:embed="rId11" cstate="print"/>
                          <a:srcRect/>
                          <a:stretch>
                            <a:fillRect/>
                          </a:stretch>
                        </pic:blipFill>
                        <pic:spPr bwMode="auto">
                          <a:xfrm>
                            <a:off x="0" y="0"/>
                            <a:ext cx="1579880" cy="592455"/>
                          </a:xfrm>
                          <a:prstGeom prst="rect">
                            <a:avLst/>
                          </a:prstGeom>
                          <a:noFill/>
                          <a:ln w="9525">
                            <a:noFill/>
                            <a:miter lim="800000"/>
                            <a:headEnd/>
                            <a:tailEnd/>
                          </a:ln>
                        </pic:spPr>
                      </pic:pic>
                    </a:graphicData>
                  </a:graphic>
                </wp:inline>
              </w:drawing>
            </w:r>
          </w:p>
        </w:tc>
        <w:tc>
          <w:tcPr>
            <w:tcW w:w="2028" w:type="dxa"/>
            <w:tcBorders>
              <w:top w:val="single" w:sz="4" w:space="0" w:color="FFFFFF"/>
              <w:left w:val="single" w:sz="4" w:space="0" w:color="FFFFFF"/>
              <w:bottom w:val="single" w:sz="4" w:space="0" w:color="FFFFFF"/>
              <w:right w:val="single" w:sz="4" w:space="0" w:color="FFFFFF"/>
            </w:tcBorders>
            <w:vAlign w:val="center"/>
          </w:tcPr>
          <w:p w:rsidR="00FB3980" w:rsidRPr="002F7344" w:rsidRDefault="00FB3980" w:rsidP="005B335E">
            <w:pPr>
              <w:pStyle w:val="Akapitzlist5"/>
              <w:tabs>
                <w:tab w:val="left" w:pos="1860"/>
              </w:tabs>
              <w:spacing w:line="360" w:lineRule="auto"/>
              <w:ind w:left="0"/>
              <w:rPr>
                <w:rFonts w:ascii="Sylfaen" w:hAnsi="Sylfaen"/>
              </w:rPr>
            </w:pPr>
            <w:r>
              <w:rPr>
                <w:noProof/>
              </w:rPr>
              <w:drawing>
                <wp:anchor distT="0" distB="0" distL="114300" distR="114300" simplePos="0" relativeHeight="251659264" behindDoc="0" locked="0" layoutInCell="1" allowOverlap="1">
                  <wp:simplePos x="0" y="0"/>
                  <wp:positionH relativeFrom="column">
                    <wp:posOffset>1206500</wp:posOffset>
                  </wp:positionH>
                  <wp:positionV relativeFrom="paragraph">
                    <wp:posOffset>-50800</wp:posOffset>
                  </wp:positionV>
                  <wp:extent cx="960755" cy="538480"/>
                  <wp:effectExtent l="19050" t="0" r="0" b="0"/>
                  <wp:wrapNone/>
                  <wp:docPr id="5" name="Obraz 5" descr="logo PROW 2007-2013 z tłem mniej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PROW 2007-2013 z tłem mniejsze"/>
                          <pic:cNvPicPr>
                            <a:picLocks noChangeAspect="1" noChangeArrowheads="1"/>
                          </pic:cNvPicPr>
                        </pic:nvPicPr>
                        <pic:blipFill>
                          <a:blip r:embed="rId12" cstate="print"/>
                          <a:srcRect/>
                          <a:stretch>
                            <a:fillRect/>
                          </a:stretch>
                        </pic:blipFill>
                        <pic:spPr bwMode="auto">
                          <a:xfrm>
                            <a:off x="0" y="0"/>
                            <a:ext cx="960755" cy="538480"/>
                          </a:xfrm>
                          <a:prstGeom prst="rect">
                            <a:avLst/>
                          </a:prstGeom>
                          <a:noFill/>
                          <a:ln w="9525">
                            <a:noFill/>
                            <a:miter lim="800000"/>
                            <a:headEnd/>
                            <a:tailEnd/>
                          </a:ln>
                        </pic:spPr>
                      </pic:pic>
                    </a:graphicData>
                  </a:graphic>
                </wp:anchor>
              </w:drawing>
            </w:r>
            <w:r>
              <w:rPr>
                <w:noProof/>
              </w:rPr>
              <w:drawing>
                <wp:inline distT="0" distB="0" distL="0" distR="0">
                  <wp:extent cx="980440" cy="490220"/>
                  <wp:effectExtent l="1905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cstate="print"/>
                          <a:srcRect/>
                          <a:stretch>
                            <a:fillRect/>
                          </a:stretch>
                        </pic:blipFill>
                        <pic:spPr bwMode="auto">
                          <a:xfrm>
                            <a:off x="0" y="0"/>
                            <a:ext cx="980440" cy="490220"/>
                          </a:xfrm>
                          <a:prstGeom prst="rect">
                            <a:avLst/>
                          </a:prstGeom>
                          <a:noFill/>
                          <a:ln w="9525">
                            <a:noFill/>
                            <a:miter lim="800000"/>
                            <a:headEnd/>
                            <a:tailEnd/>
                          </a:ln>
                        </pic:spPr>
                      </pic:pic>
                    </a:graphicData>
                  </a:graphic>
                </wp:inline>
              </w:drawing>
            </w:r>
          </w:p>
        </w:tc>
        <w:tc>
          <w:tcPr>
            <w:tcW w:w="1628" w:type="dxa"/>
            <w:tcBorders>
              <w:top w:val="single" w:sz="4" w:space="0" w:color="FFFFFF"/>
              <w:left w:val="single" w:sz="4" w:space="0" w:color="FFFFFF"/>
              <w:bottom w:val="single" w:sz="4" w:space="0" w:color="FFFFFF"/>
              <w:right w:val="single" w:sz="4" w:space="0" w:color="FFFFFF"/>
            </w:tcBorders>
            <w:vAlign w:val="center"/>
          </w:tcPr>
          <w:p w:rsidR="00FB3980" w:rsidRPr="005F4C9B" w:rsidRDefault="00FB3980" w:rsidP="005B335E">
            <w:pPr>
              <w:pStyle w:val="Akapitzlist5"/>
              <w:tabs>
                <w:tab w:val="left" w:pos="1860"/>
              </w:tabs>
              <w:spacing w:line="360" w:lineRule="auto"/>
              <w:ind w:left="0"/>
              <w:jc w:val="center"/>
              <w:rPr>
                <w:rFonts w:ascii="Sylfaen" w:hAnsi="Sylfaen"/>
                <w:sz w:val="16"/>
                <w:szCs w:val="16"/>
              </w:rPr>
            </w:pPr>
          </w:p>
        </w:tc>
      </w:tr>
    </w:tbl>
    <w:p w:rsidR="00FB3980" w:rsidRPr="00FB3980" w:rsidRDefault="00FB3980" w:rsidP="00FB3980">
      <w:pPr>
        <w:pStyle w:val="Akapitzlist51"/>
        <w:tabs>
          <w:tab w:val="left" w:pos="1860"/>
        </w:tabs>
        <w:spacing w:line="216" w:lineRule="auto"/>
        <w:ind w:left="-113" w:right="-113"/>
        <w:contextualSpacing w:val="0"/>
        <w:jc w:val="center"/>
      </w:pPr>
      <w:r w:rsidRPr="00FB3980">
        <w:t>„Europejski Fundusz Rolny na rzecz Rozwoju Obszarów Wiejskich: Europa inwestująca w obszary wiejskie.”</w:t>
      </w:r>
    </w:p>
    <w:p w:rsidR="00FB3980" w:rsidRPr="00FB3980" w:rsidRDefault="00FB3980" w:rsidP="00FB3980">
      <w:pPr>
        <w:pStyle w:val="Akapitzlist51"/>
        <w:tabs>
          <w:tab w:val="left" w:pos="1860"/>
        </w:tabs>
        <w:spacing w:line="216" w:lineRule="auto"/>
        <w:ind w:left="-113" w:right="-113"/>
        <w:contextualSpacing w:val="0"/>
        <w:jc w:val="center"/>
      </w:pPr>
      <w:r w:rsidRPr="00FB3980">
        <w:t>Projekt opracowany przez Ministerstwo Rolnictwa i Rozwoju Wsi</w:t>
      </w:r>
    </w:p>
    <w:p w:rsidR="00FB3980" w:rsidRPr="00FB3980" w:rsidRDefault="00FB3980" w:rsidP="00FB3980">
      <w:pPr>
        <w:pStyle w:val="Akapitzlist51"/>
        <w:tabs>
          <w:tab w:val="left" w:pos="1860"/>
        </w:tabs>
        <w:spacing w:line="216" w:lineRule="auto"/>
        <w:ind w:left="-113" w:right="-113"/>
        <w:contextualSpacing w:val="0"/>
        <w:jc w:val="center"/>
      </w:pPr>
      <w:r w:rsidRPr="00FB3980">
        <w:t xml:space="preserve">Projekt współfinansowany ze środków Unii Europejskiej w ramach Pomocy Technicznej </w:t>
      </w:r>
    </w:p>
    <w:p w:rsidR="00FB3980" w:rsidRPr="00FB3980" w:rsidRDefault="00FB3980" w:rsidP="00FB3980">
      <w:pPr>
        <w:pStyle w:val="Akapitzlist51"/>
        <w:tabs>
          <w:tab w:val="left" w:pos="1860"/>
        </w:tabs>
        <w:spacing w:line="216" w:lineRule="auto"/>
        <w:ind w:left="-113" w:right="-113"/>
        <w:contextualSpacing w:val="0"/>
        <w:jc w:val="center"/>
      </w:pPr>
      <w:r w:rsidRPr="00FB3980">
        <w:t>Programu Rozwoju Obszarów Wiejskich na lata 2007-2013</w:t>
      </w:r>
    </w:p>
    <w:p w:rsidR="00FB3980" w:rsidRPr="00FB3980" w:rsidRDefault="00FB3980" w:rsidP="00FB3980">
      <w:pPr>
        <w:spacing w:line="216" w:lineRule="auto"/>
        <w:ind w:left="-170" w:right="-170"/>
        <w:jc w:val="center"/>
        <w:rPr>
          <w:rFonts w:ascii="Times New Roman" w:hAnsi="Times New Roman" w:cs="Times New Roman"/>
          <w:spacing w:val="-4"/>
          <w:sz w:val="20"/>
          <w:szCs w:val="20"/>
        </w:rPr>
      </w:pPr>
      <w:r w:rsidRPr="00FB3980">
        <w:rPr>
          <w:rFonts w:ascii="Times New Roman" w:hAnsi="Times New Roman" w:cs="Times New Roman"/>
          <w:spacing w:val="-4"/>
          <w:sz w:val="20"/>
          <w:szCs w:val="20"/>
        </w:rPr>
        <w:t xml:space="preserve">Instytucja Zarządzająca Programem Rozwoju Obszarów Wiejskich na lata 2007-2013 </w:t>
      </w:r>
      <w:r>
        <w:rPr>
          <w:rFonts w:ascii="Times New Roman" w:hAnsi="Times New Roman" w:cs="Times New Roman"/>
          <w:spacing w:val="-4"/>
          <w:sz w:val="20"/>
          <w:szCs w:val="20"/>
        </w:rPr>
        <w:t>–</w:t>
      </w:r>
      <w:r w:rsidRPr="00FB3980">
        <w:rPr>
          <w:rFonts w:ascii="Times New Roman" w:hAnsi="Times New Roman" w:cs="Times New Roman"/>
          <w:spacing w:val="-4"/>
          <w:sz w:val="20"/>
          <w:szCs w:val="20"/>
        </w:rPr>
        <w:t xml:space="preserve"> Minister Rolnictwa i Rozwoju Wsi</w:t>
      </w:r>
    </w:p>
    <w:p w:rsidR="003D4D97" w:rsidRDefault="003D4D97" w:rsidP="00FB3980">
      <w:pPr>
        <w:spacing w:after="240" w:line="240" w:lineRule="auto"/>
        <w:jc w:val="center"/>
        <w:rPr>
          <w:rFonts w:ascii="Times New Roman" w:hAnsi="Times New Roman" w:cs="Times New Roman"/>
          <w:b/>
          <w:sz w:val="32"/>
          <w:szCs w:val="32"/>
        </w:rPr>
      </w:pPr>
    </w:p>
    <w:p w:rsidR="003D4D97" w:rsidRDefault="003D4D97" w:rsidP="00FB3980">
      <w:pPr>
        <w:spacing w:after="240" w:line="240" w:lineRule="auto"/>
        <w:jc w:val="center"/>
        <w:rPr>
          <w:rFonts w:ascii="Times New Roman" w:hAnsi="Times New Roman" w:cs="Times New Roman"/>
          <w:b/>
          <w:sz w:val="32"/>
          <w:szCs w:val="32"/>
        </w:rPr>
      </w:pPr>
    </w:p>
    <w:p w:rsidR="00FB3980" w:rsidRDefault="00FB3980" w:rsidP="00FB3980">
      <w:pPr>
        <w:spacing w:after="240" w:line="240" w:lineRule="auto"/>
        <w:jc w:val="center"/>
        <w:rPr>
          <w:rFonts w:ascii="Times New Roman" w:hAnsi="Times New Roman" w:cs="Times New Roman"/>
          <w:b/>
          <w:sz w:val="32"/>
          <w:szCs w:val="32"/>
        </w:rPr>
      </w:pPr>
      <w:r w:rsidRPr="00FB3980">
        <w:rPr>
          <w:rFonts w:ascii="Times New Roman" w:hAnsi="Times New Roman" w:cs="Times New Roman"/>
          <w:b/>
          <w:sz w:val="32"/>
          <w:szCs w:val="32"/>
        </w:rPr>
        <w:t xml:space="preserve">Cykl szkoleń z zakresu tworzenia lokalnych strategii rozwoju (LSR), przygotowania strategii komunikacyjnej lokalnej grupy działania (LGD) i angażowania społeczności lokalnych </w:t>
      </w:r>
      <w:r w:rsidRPr="00FB3980">
        <w:rPr>
          <w:rFonts w:ascii="Times New Roman" w:hAnsi="Times New Roman" w:cs="Times New Roman"/>
          <w:b/>
          <w:sz w:val="32"/>
          <w:szCs w:val="32"/>
        </w:rPr>
        <w:br/>
        <w:t>w przygotowanie i realizację LSR</w:t>
      </w:r>
    </w:p>
    <w:p w:rsidR="00344181" w:rsidRPr="00FB3980" w:rsidRDefault="00344181" w:rsidP="00FB3980">
      <w:pPr>
        <w:spacing w:after="240" w:line="240" w:lineRule="auto"/>
        <w:jc w:val="center"/>
        <w:rPr>
          <w:rFonts w:ascii="Times New Roman" w:hAnsi="Times New Roman" w:cs="Times New Roman"/>
          <w:b/>
          <w:sz w:val="32"/>
          <w:szCs w:val="32"/>
        </w:rPr>
      </w:pPr>
    </w:p>
    <w:p w:rsidR="00344181" w:rsidRDefault="00CF2937" w:rsidP="00344181">
      <w:pPr>
        <w:jc w:val="center"/>
        <w:rPr>
          <w:rFonts w:ascii="Times New Roman" w:hAnsi="Times New Roman" w:cs="Times New Roman"/>
          <w:sz w:val="24"/>
          <w:szCs w:val="24"/>
        </w:rPr>
      </w:pPr>
      <w:r>
        <w:rPr>
          <w:rFonts w:ascii="Times New Roman" w:hAnsi="Times New Roman" w:cs="Times New Roman"/>
          <w:sz w:val="24"/>
          <w:szCs w:val="24"/>
        </w:rPr>
        <w:t>Relacja</w:t>
      </w:r>
      <w:r w:rsidR="00FB3980" w:rsidRPr="00344181">
        <w:rPr>
          <w:rFonts w:ascii="Times New Roman" w:hAnsi="Times New Roman" w:cs="Times New Roman"/>
          <w:sz w:val="24"/>
          <w:szCs w:val="24"/>
        </w:rPr>
        <w:t xml:space="preserve"> z realizacji szkoleń w ramach modułu I - </w:t>
      </w:r>
      <w:r w:rsidR="00344181" w:rsidRPr="00344181">
        <w:rPr>
          <w:rFonts w:ascii="Times New Roman" w:hAnsi="Times New Roman" w:cs="Times New Roman"/>
          <w:sz w:val="24"/>
          <w:szCs w:val="24"/>
        </w:rPr>
        <w:t xml:space="preserve">Przygotowanie strategii </w:t>
      </w:r>
      <w:r w:rsidR="00344181">
        <w:rPr>
          <w:rFonts w:ascii="Times New Roman" w:hAnsi="Times New Roman" w:cs="Times New Roman"/>
          <w:sz w:val="24"/>
          <w:szCs w:val="24"/>
        </w:rPr>
        <w:br/>
      </w:r>
      <w:r w:rsidR="00344181" w:rsidRPr="00344181">
        <w:rPr>
          <w:rFonts w:ascii="Times New Roman" w:hAnsi="Times New Roman" w:cs="Times New Roman"/>
          <w:sz w:val="24"/>
          <w:szCs w:val="24"/>
        </w:rPr>
        <w:t>i przeprowadzanie analizy SWOT (metoda analizy polegająca na wskazaniu przez uczestników mocnych i słabych stron, szans i zagrożeń)</w:t>
      </w:r>
    </w:p>
    <w:p w:rsidR="00BE6E2B" w:rsidRPr="00BE6E2B" w:rsidRDefault="00BE6E2B" w:rsidP="00BB195F">
      <w:pPr>
        <w:jc w:val="center"/>
        <w:rPr>
          <w:rFonts w:ascii="Times New Roman" w:hAnsi="Times New Roman" w:cs="Times New Roman"/>
          <w:b/>
          <w:i/>
          <w:sz w:val="24"/>
          <w:szCs w:val="24"/>
        </w:rPr>
      </w:pPr>
      <w:r w:rsidRPr="00BE6E2B">
        <w:rPr>
          <w:rFonts w:ascii="Times New Roman" w:hAnsi="Times New Roman" w:cs="Times New Roman"/>
          <w:b/>
          <w:i/>
          <w:sz w:val="24"/>
          <w:szCs w:val="24"/>
        </w:rPr>
        <w:t>Opracowanie: Centrum Doradztwa Ro</w:t>
      </w:r>
      <w:bookmarkStart w:id="0" w:name="_GoBack"/>
      <w:bookmarkEnd w:id="0"/>
      <w:r w:rsidRPr="00BE6E2B">
        <w:rPr>
          <w:rFonts w:ascii="Times New Roman" w:hAnsi="Times New Roman" w:cs="Times New Roman"/>
          <w:b/>
          <w:i/>
          <w:sz w:val="24"/>
          <w:szCs w:val="24"/>
        </w:rPr>
        <w:t>lniczego Brwinów Oddział w Krakowie</w:t>
      </w:r>
    </w:p>
    <w:p w:rsidR="00BE6E2B" w:rsidRDefault="00BE6E2B" w:rsidP="003C2358">
      <w:pPr>
        <w:spacing w:after="120" w:line="312" w:lineRule="auto"/>
        <w:jc w:val="both"/>
        <w:rPr>
          <w:rFonts w:ascii="Times New Roman" w:hAnsi="Times New Roman" w:cs="Times New Roman"/>
          <w:sz w:val="24"/>
          <w:szCs w:val="24"/>
        </w:rPr>
      </w:pPr>
    </w:p>
    <w:p w:rsidR="00FB3980" w:rsidRDefault="00833DED" w:rsidP="003C2358">
      <w:pPr>
        <w:spacing w:after="120" w:line="312" w:lineRule="auto"/>
        <w:jc w:val="both"/>
        <w:rPr>
          <w:rFonts w:ascii="Times New Roman" w:hAnsi="Times New Roman" w:cs="Times New Roman"/>
          <w:sz w:val="24"/>
          <w:szCs w:val="24"/>
        </w:rPr>
      </w:pPr>
      <w:r w:rsidRPr="00FB3980">
        <w:rPr>
          <w:rFonts w:ascii="Times New Roman" w:hAnsi="Times New Roman" w:cs="Times New Roman"/>
          <w:sz w:val="24"/>
          <w:szCs w:val="24"/>
        </w:rPr>
        <w:t>Budowa strategii nie oznacza jej pisani</w:t>
      </w:r>
      <w:r w:rsidR="00056D32">
        <w:rPr>
          <w:rFonts w:ascii="Times New Roman" w:hAnsi="Times New Roman" w:cs="Times New Roman"/>
          <w:sz w:val="24"/>
          <w:szCs w:val="24"/>
        </w:rPr>
        <w:t>a</w:t>
      </w:r>
      <w:r w:rsidRPr="00FB3980">
        <w:rPr>
          <w:rFonts w:ascii="Times New Roman" w:hAnsi="Times New Roman" w:cs="Times New Roman"/>
          <w:sz w:val="24"/>
          <w:szCs w:val="24"/>
        </w:rPr>
        <w:t xml:space="preserve"> czy nawet opracowani</w:t>
      </w:r>
      <w:r w:rsidR="00056D32">
        <w:rPr>
          <w:rFonts w:ascii="Times New Roman" w:hAnsi="Times New Roman" w:cs="Times New Roman"/>
          <w:sz w:val="24"/>
          <w:szCs w:val="24"/>
        </w:rPr>
        <w:t>a</w:t>
      </w:r>
      <w:r w:rsidRPr="00FB3980">
        <w:rPr>
          <w:rFonts w:ascii="Times New Roman" w:hAnsi="Times New Roman" w:cs="Times New Roman"/>
          <w:sz w:val="24"/>
          <w:szCs w:val="24"/>
        </w:rPr>
        <w:t xml:space="preserve">. Budowa to proces twórczy, </w:t>
      </w:r>
      <w:r w:rsidR="001B5722" w:rsidRPr="00FB3980">
        <w:rPr>
          <w:rFonts w:ascii="Times New Roman" w:hAnsi="Times New Roman" w:cs="Times New Roman"/>
          <w:sz w:val="24"/>
          <w:szCs w:val="24"/>
        </w:rPr>
        <w:br/>
      </w:r>
      <w:r w:rsidRPr="00FB3980">
        <w:rPr>
          <w:rFonts w:ascii="Times New Roman" w:hAnsi="Times New Roman" w:cs="Times New Roman"/>
          <w:sz w:val="24"/>
          <w:szCs w:val="24"/>
        </w:rPr>
        <w:t>w realizację którego angażuje się wielu ludzi ale każdy dokłada „swoją” cegiełkę pod „nadzorem” „majstra”. Wówczas nasza budowa doprowadzi do powstania „dzi</w:t>
      </w:r>
      <w:r w:rsidR="00266617">
        <w:rPr>
          <w:rFonts w:ascii="Times New Roman" w:hAnsi="Times New Roman" w:cs="Times New Roman"/>
          <w:sz w:val="24"/>
          <w:szCs w:val="24"/>
        </w:rPr>
        <w:t>e</w:t>
      </w:r>
      <w:r w:rsidRPr="00FB3980">
        <w:rPr>
          <w:rFonts w:ascii="Times New Roman" w:hAnsi="Times New Roman" w:cs="Times New Roman"/>
          <w:sz w:val="24"/>
          <w:szCs w:val="24"/>
        </w:rPr>
        <w:t xml:space="preserve">ła” trwałego </w:t>
      </w:r>
      <w:r w:rsidR="00FB3980">
        <w:rPr>
          <w:rFonts w:ascii="Times New Roman" w:hAnsi="Times New Roman" w:cs="Times New Roman"/>
          <w:sz w:val="24"/>
          <w:szCs w:val="24"/>
        </w:rPr>
        <w:br/>
      </w:r>
      <w:r w:rsidRPr="00FB3980">
        <w:rPr>
          <w:rFonts w:ascii="Times New Roman" w:hAnsi="Times New Roman" w:cs="Times New Roman"/>
          <w:sz w:val="24"/>
          <w:szCs w:val="24"/>
        </w:rPr>
        <w:t>i zbliżonego do doskonałości.</w:t>
      </w:r>
      <w:r w:rsidR="00FB3980">
        <w:rPr>
          <w:rFonts w:ascii="Times New Roman" w:hAnsi="Times New Roman" w:cs="Times New Roman"/>
          <w:sz w:val="24"/>
          <w:szCs w:val="24"/>
        </w:rPr>
        <w:t xml:space="preserve"> Zapewne nie istnieją doskonałe strategie ale „dobre” na pewno, bo to takie, które da się zrealizować.</w:t>
      </w:r>
    </w:p>
    <w:p w:rsidR="00833DED" w:rsidRDefault="00833DED" w:rsidP="003C2358">
      <w:pPr>
        <w:spacing w:after="120" w:line="312" w:lineRule="auto"/>
        <w:jc w:val="both"/>
        <w:rPr>
          <w:rFonts w:ascii="Times New Roman" w:hAnsi="Times New Roman" w:cs="Times New Roman"/>
          <w:sz w:val="24"/>
          <w:szCs w:val="24"/>
        </w:rPr>
      </w:pPr>
      <w:r w:rsidRPr="00FB3980">
        <w:rPr>
          <w:rFonts w:ascii="Times New Roman" w:hAnsi="Times New Roman" w:cs="Times New Roman"/>
          <w:sz w:val="24"/>
          <w:szCs w:val="24"/>
        </w:rPr>
        <w:t>Budowa to proces kolejno po sobie następujących etapów. Na początku potrzebna jest grupa ludzi, którzy wiedzą czego chcą</w:t>
      </w:r>
      <w:r w:rsidR="001B5722" w:rsidRPr="00FB3980">
        <w:rPr>
          <w:rFonts w:ascii="Times New Roman" w:hAnsi="Times New Roman" w:cs="Times New Roman"/>
          <w:sz w:val="24"/>
          <w:szCs w:val="24"/>
        </w:rPr>
        <w:t>,</w:t>
      </w:r>
      <w:r w:rsidRPr="00FB3980">
        <w:rPr>
          <w:rFonts w:ascii="Times New Roman" w:hAnsi="Times New Roman" w:cs="Times New Roman"/>
          <w:sz w:val="24"/>
          <w:szCs w:val="24"/>
        </w:rPr>
        <w:t xml:space="preserve"> tego chcą</w:t>
      </w:r>
      <w:r w:rsidR="001B5722" w:rsidRPr="00FB3980">
        <w:rPr>
          <w:rFonts w:ascii="Times New Roman" w:hAnsi="Times New Roman" w:cs="Times New Roman"/>
          <w:sz w:val="24"/>
          <w:szCs w:val="24"/>
        </w:rPr>
        <w:t xml:space="preserve"> i wiedzą jak to osiągnąć oraz posiadają w tym zakresie kompetencje.</w:t>
      </w:r>
      <w:r w:rsidRPr="00FB3980">
        <w:rPr>
          <w:rFonts w:ascii="Times New Roman" w:hAnsi="Times New Roman" w:cs="Times New Roman"/>
          <w:sz w:val="24"/>
          <w:szCs w:val="24"/>
        </w:rPr>
        <w:t xml:space="preserve"> </w:t>
      </w:r>
    </w:p>
    <w:p w:rsidR="007528BA" w:rsidRDefault="00FB3980"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Prowadzone szkolenia dla przedstawicieli Lokalnych Grup Działania w ramach modułu </w:t>
      </w:r>
      <w:r w:rsidR="007528BA">
        <w:rPr>
          <w:rFonts w:ascii="Times New Roman" w:hAnsi="Times New Roman" w:cs="Times New Roman"/>
          <w:sz w:val="24"/>
          <w:szCs w:val="24"/>
        </w:rPr>
        <w:br/>
      </w:r>
      <w:r>
        <w:rPr>
          <w:rFonts w:ascii="Times New Roman" w:hAnsi="Times New Roman" w:cs="Times New Roman"/>
          <w:sz w:val="24"/>
          <w:szCs w:val="24"/>
        </w:rPr>
        <w:t xml:space="preserve">I </w:t>
      </w:r>
      <w:r w:rsidR="007528BA">
        <w:rPr>
          <w:rFonts w:ascii="Times New Roman" w:hAnsi="Times New Roman" w:cs="Times New Roman"/>
          <w:sz w:val="24"/>
          <w:szCs w:val="24"/>
        </w:rPr>
        <w:t>–</w:t>
      </w:r>
      <w:r>
        <w:rPr>
          <w:rFonts w:ascii="Times New Roman" w:hAnsi="Times New Roman" w:cs="Times New Roman"/>
          <w:sz w:val="24"/>
          <w:szCs w:val="24"/>
        </w:rPr>
        <w:t xml:space="preserve"> </w:t>
      </w:r>
      <w:r w:rsidR="007528BA" w:rsidRPr="00344181">
        <w:rPr>
          <w:rFonts w:ascii="Times New Roman" w:hAnsi="Times New Roman" w:cs="Times New Roman"/>
          <w:sz w:val="24"/>
          <w:szCs w:val="24"/>
        </w:rPr>
        <w:t>Przygotowanie strategii i przeprowadzanie analizy SWOT (metoda analizy polegająca na wskazaniu przez uczestników mocnych i słabych stron, szans i zagrożeń)</w:t>
      </w:r>
      <w:r w:rsidR="007528BA">
        <w:rPr>
          <w:rFonts w:ascii="Times New Roman" w:hAnsi="Times New Roman" w:cs="Times New Roman"/>
          <w:sz w:val="24"/>
          <w:szCs w:val="24"/>
        </w:rPr>
        <w:t xml:space="preserve"> miały na celu </w:t>
      </w:r>
      <w:r w:rsidR="007528BA" w:rsidRPr="007528BA">
        <w:rPr>
          <w:rFonts w:ascii="Times New Roman" w:hAnsi="Times New Roman" w:cs="Times New Roman"/>
          <w:sz w:val="24"/>
          <w:szCs w:val="24"/>
        </w:rPr>
        <w:t>wsparcie LGD w przygotowaniu nowych, lepszych jakościowo LSR, opartych na podstawowych elementach oddolnego podejścia LEADER, oraz rozwijanie ich zdolności komunikacyjnych i wiedzy nt. metod i technik aktywizacji.</w:t>
      </w:r>
    </w:p>
    <w:p w:rsidR="003D4D97" w:rsidRDefault="00A81109"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Obserwacja uczestników szkoleń przez trenerów, a także dobre wyniki testów (wszyscy zliczyli testy) prowadzi do wniosku, że założone cele zostały w pełni osiągnięte. Należy </w:t>
      </w:r>
      <w:r w:rsidR="00381E79">
        <w:rPr>
          <w:rFonts w:ascii="Times New Roman" w:hAnsi="Times New Roman" w:cs="Times New Roman"/>
          <w:sz w:val="24"/>
          <w:szCs w:val="24"/>
        </w:rPr>
        <w:br/>
      </w:r>
      <w:r>
        <w:rPr>
          <w:rFonts w:ascii="Times New Roman" w:hAnsi="Times New Roman" w:cs="Times New Roman"/>
          <w:sz w:val="24"/>
          <w:szCs w:val="24"/>
        </w:rPr>
        <w:t xml:space="preserve">w tym miejscu zauważyć, że cele te zostały sformułowane ambitnie i nie sprowadzały się tylko do poziomu wiedzy jaki uczestnicy powinni osiągnąć. </w:t>
      </w:r>
    </w:p>
    <w:p w:rsidR="00A81109" w:rsidRDefault="00A81109"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Można zaryzykować tezę, że sama wiedza odgrywała w tych szkoleniach </w:t>
      </w:r>
      <w:r w:rsidR="005B335E">
        <w:rPr>
          <w:rFonts w:ascii="Times New Roman" w:hAnsi="Times New Roman" w:cs="Times New Roman"/>
          <w:sz w:val="24"/>
          <w:szCs w:val="24"/>
        </w:rPr>
        <w:t>„</w:t>
      </w:r>
      <w:r>
        <w:rPr>
          <w:rFonts w:ascii="Times New Roman" w:hAnsi="Times New Roman" w:cs="Times New Roman"/>
          <w:sz w:val="24"/>
          <w:szCs w:val="24"/>
        </w:rPr>
        <w:t>drugoplanową</w:t>
      </w:r>
      <w:r w:rsidR="005B335E">
        <w:rPr>
          <w:rFonts w:ascii="Times New Roman" w:hAnsi="Times New Roman" w:cs="Times New Roman"/>
          <w:sz w:val="24"/>
          <w:szCs w:val="24"/>
        </w:rPr>
        <w:t>”</w:t>
      </w:r>
      <w:r>
        <w:rPr>
          <w:rFonts w:ascii="Times New Roman" w:hAnsi="Times New Roman" w:cs="Times New Roman"/>
          <w:sz w:val="24"/>
          <w:szCs w:val="24"/>
        </w:rPr>
        <w:t xml:space="preserve"> rolę</w:t>
      </w:r>
      <w:r w:rsidR="005B335E">
        <w:rPr>
          <w:rFonts w:ascii="Times New Roman" w:hAnsi="Times New Roman" w:cs="Times New Roman"/>
          <w:sz w:val="24"/>
          <w:szCs w:val="24"/>
        </w:rPr>
        <w:t>,</w:t>
      </w:r>
      <w:r>
        <w:rPr>
          <w:rFonts w:ascii="Times New Roman" w:hAnsi="Times New Roman" w:cs="Times New Roman"/>
          <w:sz w:val="24"/>
          <w:szCs w:val="24"/>
        </w:rPr>
        <w:t xml:space="preserve"> była wręcz narzędziem prowadzącym do zmiany podejścia uczestników do procesu </w:t>
      </w:r>
      <w:r w:rsidR="005B335E">
        <w:rPr>
          <w:rFonts w:ascii="Times New Roman" w:hAnsi="Times New Roman" w:cs="Times New Roman"/>
          <w:sz w:val="24"/>
          <w:szCs w:val="24"/>
        </w:rPr>
        <w:t xml:space="preserve">budowy strategii. Analiza stopnia realizacji celów nie jest w pełni możliwa – to da się stwierdzić w trakcie prac nad budową strategii w konkretnych LGD i poprzez </w:t>
      </w:r>
      <w:r w:rsidR="00381E79">
        <w:rPr>
          <w:rFonts w:ascii="Times New Roman" w:hAnsi="Times New Roman" w:cs="Times New Roman"/>
          <w:sz w:val="24"/>
          <w:szCs w:val="24"/>
        </w:rPr>
        <w:t>ustalenie</w:t>
      </w:r>
      <w:r w:rsidR="005B335E">
        <w:rPr>
          <w:rFonts w:ascii="Times New Roman" w:hAnsi="Times New Roman" w:cs="Times New Roman"/>
          <w:sz w:val="24"/>
          <w:szCs w:val="24"/>
        </w:rPr>
        <w:t xml:space="preserve"> jaką rolę odegrają w tym procesie uczestnicy szkoleń.</w:t>
      </w:r>
    </w:p>
    <w:p w:rsidR="005B335E" w:rsidRDefault="005B335E"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W kilka dni po zakończeniu cyklu szkoleniowego w ramach modułu I można z całą pewnością stwierdzić, że cele opisane w metodologii projektu zostały osiągnięte.  Natomiast warto zauważyć </w:t>
      </w:r>
      <w:r w:rsidR="00381E79">
        <w:rPr>
          <w:rFonts w:ascii="Times New Roman" w:hAnsi="Times New Roman" w:cs="Times New Roman"/>
          <w:sz w:val="24"/>
          <w:szCs w:val="24"/>
        </w:rPr>
        <w:t>„</w:t>
      </w:r>
      <w:r>
        <w:rPr>
          <w:rFonts w:ascii="Times New Roman" w:hAnsi="Times New Roman" w:cs="Times New Roman"/>
          <w:sz w:val="24"/>
          <w:szCs w:val="24"/>
        </w:rPr>
        <w:t>wytworzenie</w:t>
      </w:r>
      <w:r w:rsidR="00381E79">
        <w:rPr>
          <w:rFonts w:ascii="Times New Roman" w:hAnsi="Times New Roman" w:cs="Times New Roman"/>
          <w:sz w:val="24"/>
          <w:szCs w:val="24"/>
        </w:rPr>
        <w:t>”</w:t>
      </w:r>
      <w:r>
        <w:rPr>
          <w:rFonts w:ascii="Times New Roman" w:hAnsi="Times New Roman" w:cs="Times New Roman"/>
          <w:sz w:val="24"/>
          <w:szCs w:val="24"/>
        </w:rPr>
        <w:t xml:space="preserve"> się wartości dodanej po szkoleniach czyli coś takiego co nazywamy rezultatami niemierzalnymi ale w subiektywny sposób odczuwalnymi.</w:t>
      </w:r>
    </w:p>
    <w:p w:rsidR="005B335E" w:rsidRDefault="005B335E"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Do tych rezultatów można zaliczyć następujące zjawiska:</w:t>
      </w:r>
    </w:p>
    <w:p w:rsidR="00F24DCA" w:rsidRDefault="005B335E"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Po pierwsze – uczestnicy szkoleń (w zdecydowanej większości)</w:t>
      </w:r>
      <w:r w:rsidR="00B91C7F">
        <w:rPr>
          <w:rFonts w:ascii="Times New Roman" w:hAnsi="Times New Roman" w:cs="Times New Roman"/>
          <w:sz w:val="24"/>
          <w:szCs w:val="24"/>
        </w:rPr>
        <w:t xml:space="preserve"> uznali zasadę, że strategii się nie pisze, a buduje z licznym udziałem lokalnych społeczności i w tym procesie istotna jest kolejność postępowania i jakość </w:t>
      </w:r>
      <w:r w:rsidR="00381E79">
        <w:rPr>
          <w:rFonts w:ascii="Times New Roman" w:hAnsi="Times New Roman" w:cs="Times New Roman"/>
          <w:sz w:val="24"/>
          <w:szCs w:val="24"/>
        </w:rPr>
        <w:t xml:space="preserve">realizacji </w:t>
      </w:r>
      <w:r w:rsidR="00B91C7F">
        <w:rPr>
          <w:rFonts w:ascii="Times New Roman" w:hAnsi="Times New Roman" w:cs="Times New Roman"/>
          <w:sz w:val="24"/>
          <w:szCs w:val="24"/>
        </w:rPr>
        <w:t xml:space="preserve">każdego etapu. Co istotne każde działanie </w:t>
      </w:r>
      <w:r w:rsidR="00381E79">
        <w:rPr>
          <w:rFonts w:ascii="Times New Roman" w:hAnsi="Times New Roman" w:cs="Times New Roman"/>
          <w:sz w:val="24"/>
          <w:szCs w:val="24"/>
        </w:rPr>
        <w:br/>
      </w:r>
      <w:r w:rsidR="00B91C7F">
        <w:rPr>
          <w:rFonts w:ascii="Times New Roman" w:hAnsi="Times New Roman" w:cs="Times New Roman"/>
          <w:sz w:val="24"/>
          <w:szCs w:val="24"/>
        </w:rPr>
        <w:t>z udziałem licznych reprezentantów lokalnych społeczności wymaga aby uzyskana wiedz</w:t>
      </w:r>
      <w:r w:rsidR="00266617">
        <w:rPr>
          <w:rFonts w:ascii="Times New Roman" w:hAnsi="Times New Roman" w:cs="Times New Roman"/>
          <w:sz w:val="24"/>
          <w:szCs w:val="24"/>
        </w:rPr>
        <w:t>a</w:t>
      </w:r>
      <w:r w:rsidR="00B91C7F">
        <w:rPr>
          <w:rFonts w:ascii="Times New Roman" w:hAnsi="Times New Roman" w:cs="Times New Roman"/>
          <w:sz w:val="24"/>
          <w:szCs w:val="24"/>
        </w:rPr>
        <w:t>, zidentyfikowane elementy lokalnego potencjału, problemy i oczekiwania zostały poddane procesowi analizy i strategicznych wyborów. „Unikanie” strategicznych decyzji prowadzi do „</w:t>
      </w:r>
      <w:proofErr w:type="spellStart"/>
      <w:r w:rsidR="00B91C7F">
        <w:rPr>
          <w:rFonts w:ascii="Times New Roman" w:hAnsi="Times New Roman" w:cs="Times New Roman"/>
          <w:sz w:val="24"/>
          <w:szCs w:val="24"/>
        </w:rPr>
        <w:t>wszystkoistycznych</w:t>
      </w:r>
      <w:proofErr w:type="spellEnd"/>
      <w:r w:rsidR="00B91C7F">
        <w:rPr>
          <w:rFonts w:ascii="Times New Roman" w:hAnsi="Times New Roman" w:cs="Times New Roman"/>
          <w:sz w:val="24"/>
          <w:szCs w:val="24"/>
        </w:rPr>
        <w:t xml:space="preserve">” (szerokich) strategii – czyli takich, które da się w konsekwencji zrealizować ale wątpliwa jest wielkość i jakość uzyskanej zmiany na obszarze. Strategiczne wybory i zachowana kolejność działań w procesie budowy strategii prowadzi do strategii, która staje się dokumentem </w:t>
      </w:r>
      <w:r w:rsidR="00B91C7F" w:rsidRPr="00381E79">
        <w:rPr>
          <w:rFonts w:ascii="Times New Roman" w:hAnsi="Times New Roman" w:cs="Times New Roman"/>
          <w:b/>
          <w:sz w:val="24"/>
          <w:szCs w:val="24"/>
        </w:rPr>
        <w:t>ideowym</w:t>
      </w:r>
      <w:r w:rsidR="00B91C7F">
        <w:rPr>
          <w:rFonts w:ascii="Times New Roman" w:hAnsi="Times New Roman" w:cs="Times New Roman"/>
          <w:sz w:val="24"/>
          <w:szCs w:val="24"/>
        </w:rPr>
        <w:t xml:space="preserve"> posiadającym „siłę władzy” czyli zdolność wpływania na aktywność </w:t>
      </w:r>
      <w:r w:rsidR="00F24DCA">
        <w:rPr>
          <w:rFonts w:ascii="Times New Roman" w:hAnsi="Times New Roman" w:cs="Times New Roman"/>
          <w:sz w:val="24"/>
          <w:szCs w:val="24"/>
        </w:rPr>
        <w:t xml:space="preserve">mieszkańców obszaru </w:t>
      </w:r>
      <w:r w:rsidR="00B91C7F">
        <w:rPr>
          <w:rFonts w:ascii="Times New Roman" w:hAnsi="Times New Roman" w:cs="Times New Roman"/>
          <w:sz w:val="24"/>
          <w:szCs w:val="24"/>
        </w:rPr>
        <w:t>i jej kierunek</w:t>
      </w:r>
      <w:r w:rsidR="00F24DCA">
        <w:rPr>
          <w:rFonts w:ascii="Times New Roman" w:hAnsi="Times New Roman" w:cs="Times New Roman"/>
          <w:sz w:val="24"/>
          <w:szCs w:val="24"/>
        </w:rPr>
        <w:t>.</w:t>
      </w:r>
    </w:p>
    <w:p w:rsidR="006333D6" w:rsidRDefault="00F24DCA"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Po drugie </w:t>
      </w:r>
      <w:r w:rsidR="00B91397">
        <w:rPr>
          <w:rFonts w:ascii="Times New Roman" w:hAnsi="Times New Roman" w:cs="Times New Roman"/>
          <w:sz w:val="24"/>
          <w:szCs w:val="24"/>
        </w:rPr>
        <w:t>–</w:t>
      </w:r>
      <w:r>
        <w:rPr>
          <w:rFonts w:ascii="Times New Roman" w:hAnsi="Times New Roman" w:cs="Times New Roman"/>
          <w:sz w:val="24"/>
          <w:szCs w:val="24"/>
        </w:rPr>
        <w:t xml:space="preserve"> </w:t>
      </w:r>
      <w:r w:rsidR="00B91397">
        <w:rPr>
          <w:rFonts w:ascii="Times New Roman" w:hAnsi="Times New Roman" w:cs="Times New Roman"/>
          <w:sz w:val="24"/>
          <w:szCs w:val="24"/>
        </w:rPr>
        <w:t xml:space="preserve">większość uczestników szkoleń zgodziła się z poglądem, że warto zaangażować się w pełni i świadomie w proces budowy strategii, w pewnym „oderwaniu” od codziennej praktyki i „biurokratycznego praktycyzmu”. Rozziew pomiędzy „oczekiwaniami” struktury zarządzająco-wdrożeniowej wyrażającej się zbyt często w oczekiwaniu skuteczności LGD </w:t>
      </w:r>
      <w:r w:rsidR="00B91397">
        <w:rPr>
          <w:rFonts w:ascii="Times New Roman" w:hAnsi="Times New Roman" w:cs="Times New Roman"/>
          <w:sz w:val="24"/>
          <w:szCs w:val="24"/>
        </w:rPr>
        <w:br/>
        <w:t>w „wydatkowaniu” środków, którymi</w:t>
      </w:r>
      <w:r w:rsidR="00381E79">
        <w:rPr>
          <w:rFonts w:ascii="Times New Roman" w:hAnsi="Times New Roman" w:cs="Times New Roman"/>
          <w:sz w:val="24"/>
          <w:szCs w:val="24"/>
        </w:rPr>
        <w:t xml:space="preserve"> ta LGD</w:t>
      </w:r>
      <w:r w:rsidR="00B91397">
        <w:rPr>
          <w:rFonts w:ascii="Times New Roman" w:hAnsi="Times New Roman" w:cs="Times New Roman"/>
          <w:sz w:val="24"/>
          <w:szCs w:val="24"/>
        </w:rPr>
        <w:t xml:space="preserve"> dysponuje</w:t>
      </w:r>
      <w:r w:rsidR="00381E79">
        <w:rPr>
          <w:rFonts w:ascii="Times New Roman" w:hAnsi="Times New Roman" w:cs="Times New Roman"/>
          <w:sz w:val="24"/>
          <w:szCs w:val="24"/>
        </w:rPr>
        <w:t>,</w:t>
      </w:r>
      <w:r w:rsidR="00B91397">
        <w:rPr>
          <w:rFonts w:ascii="Times New Roman" w:hAnsi="Times New Roman" w:cs="Times New Roman"/>
          <w:sz w:val="24"/>
          <w:szCs w:val="24"/>
        </w:rPr>
        <w:t xml:space="preserve"> a jakością i wartością zmiany na obszarze – co jest niewymierną „korzyścią” przejawiającą się w satysfakcji mieszkańców, jest „do pogodzenia”. To jak osiągnąć taki kompromis budziło wiele dyskusji, a nawet prowadziło do sporów pomiędzy samymi uczestnikami, uczestnikami i trenerami. Spory te miały twórczy charakter i powodowały, że uczestnicy (nie wszyscy – to należy zaznaczyć) </w:t>
      </w:r>
      <w:r w:rsidR="00381E79">
        <w:rPr>
          <w:rFonts w:ascii="Times New Roman" w:hAnsi="Times New Roman" w:cs="Times New Roman"/>
          <w:sz w:val="24"/>
          <w:szCs w:val="24"/>
        </w:rPr>
        <w:t>„</w:t>
      </w:r>
      <w:r w:rsidR="00B91397">
        <w:rPr>
          <w:rFonts w:ascii="Times New Roman" w:hAnsi="Times New Roman" w:cs="Times New Roman"/>
          <w:sz w:val="24"/>
          <w:szCs w:val="24"/>
        </w:rPr>
        <w:t>stawali</w:t>
      </w:r>
      <w:r w:rsidR="00381E79">
        <w:rPr>
          <w:rFonts w:ascii="Times New Roman" w:hAnsi="Times New Roman" w:cs="Times New Roman"/>
          <w:sz w:val="24"/>
          <w:szCs w:val="24"/>
        </w:rPr>
        <w:t>”</w:t>
      </w:r>
      <w:r w:rsidR="00B91397">
        <w:rPr>
          <w:rFonts w:ascii="Times New Roman" w:hAnsi="Times New Roman" w:cs="Times New Roman"/>
          <w:sz w:val="24"/>
          <w:szCs w:val="24"/>
        </w:rPr>
        <w:t xml:space="preserve"> po stronie </w:t>
      </w:r>
      <w:r w:rsidR="00B91397" w:rsidRPr="00381E79">
        <w:rPr>
          <w:rFonts w:ascii="Times New Roman" w:hAnsi="Times New Roman" w:cs="Times New Roman"/>
          <w:i/>
          <w:sz w:val="24"/>
          <w:szCs w:val="24"/>
        </w:rPr>
        <w:t xml:space="preserve">jakości i wartości zmiany </w:t>
      </w:r>
      <w:r w:rsidR="00B91397">
        <w:rPr>
          <w:rFonts w:ascii="Times New Roman" w:hAnsi="Times New Roman" w:cs="Times New Roman"/>
          <w:sz w:val="24"/>
          <w:szCs w:val="24"/>
        </w:rPr>
        <w:t>na obszarze</w:t>
      </w:r>
    </w:p>
    <w:p w:rsidR="005B335E" w:rsidRDefault="006333D6"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Po trzecie – wykłady ale głównie zajęcia warsztatowe spowodowały </w:t>
      </w:r>
      <w:r w:rsidR="008C41F1">
        <w:rPr>
          <w:rFonts w:ascii="Times New Roman" w:hAnsi="Times New Roman" w:cs="Times New Roman"/>
          <w:sz w:val="24"/>
          <w:szCs w:val="24"/>
        </w:rPr>
        <w:t xml:space="preserve">(przynajmniej u pewnej części uczestników, w pewnym trudnym do ocenienia zakresie) </w:t>
      </w:r>
      <w:r>
        <w:rPr>
          <w:rFonts w:ascii="Times New Roman" w:hAnsi="Times New Roman" w:cs="Times New Roman"/>
          <w:sz w:val="24"/>
          <w:szCs w:val="24"/>
        </w:rPr>
        <w:t xml:space="preserve">zmianę w podejściu do samej </w:t>
      </w:r>
      <w:r>
        <w:rPr>
          <w:rFonts w:ascii="Times New Roman" w:hAnsi="Times New Roman" w:cs="Times New Roman"/>
          <w:sz w:val="24"/>
          <w:szCs w:val="24"/>
        </w:rPr>
        <w:lastRenderedPageBreak/>
        <w:t xml:space="preserve">diagnozy i analizy SWOT. </w:t>
      </w:r>
      <w:r w:rsidR="008C41F1">
        <w:rPr>
          <w:rFonts w:ascii="Times New Roman" w:hAnsi="Times New Roman" w:cs="Times New Roman"/>
          <w:sz w:val="24"/>
          <w:szCs w:val="24"/>
        </w:rPr>
        <w:t xml:space="preserve">Uznano, że diagnoza obszaru to „coś” więcej niż sam opis i nawet zidentyfikowanie </w:t>
      </w:r>
      <w:r w:rsidR="00381E79">
        <w:rPr>
          <w:rFonts w:ascii="Times New Roman" w:hAnsi="Times New Roman" w:cs="Times New Roman"/>
          <w:sz w:val="24"/>
          <w:szCs w:val="24"/>
        </w:rPr>
        <w:t xml:space="preserve">(wymienienie w dokumencie) </w:t>
      </w:r>
      <w:r w:rsidR="008C41F1">
        <w:rPr>
          <w:rFonts w:ascii="Times New Roman" w:hAnsi="Times New Roman" w:cs="Times New Roman"/>
          <w:sz w:val="24"/>
          <w:szCs w:val="24"/>
        </w:rPr>
        <w:t>ważnych elementów lokalnego potencjału</w:t>
      </w:r>
      <w:r w:rsidR="00B91397">
        <w:rPr>
          <w:rFonts w:ascii="Times New Roman" w:hAnsi="Times New Roman" w:cs="Times New Roman"/>
          <w:sz w:val="24"/>
          <w:szCs w:val="24"/>
        </w:rPr>
        <w:t>.</w:t>
      </w:r>
      <w:r w:rsidR="008C41F1">
        <w:rPr>
          <w:rFonts w:ascii="Times New Roman" w:hAnsi="Times New Roman" w:cs="Times New Roman"/>
          <w:sz w:val="24"/>
          <w:szCs w:val="24"/>
        </w:rPr>
        <w:t xml:space="preserve"> </w:t>
      </w:r>
      <w:r w:rsidR="00E465D3" w:rsidRPr="00381E79">
        <w:rPr>
          <w:rFonts w:ascii="Times New Roman" w:hAnsi="Times New Roman" w:cs="Times New Roman"/>
          <w:spacing w:val="-4"/>
          <w:sz w:val="24"/>
          <w:szCs w:val="24"/>
        </w:rPr>
        <w:t>A</w:t>
      </w:r>
      <w:r w:rsidR="008C41F1" w:rsidRPr="00381E79">
        <w:rPr>
          <w:rFonts w:ascii="Times New Roman" w:hAnsi="Times New Roman" w:cs="Times New Roman"/>
          <w:spacing w:val="-4"/>
          <w:sz w:val="24"/>
          <w:szCs w:val="24"/>
        </w:rPr>
        <w:t>naliza zawierająca ocenę tego co stanowi potencjał obszaru</w:t>
      </w:r>
      <w:r w:rsidR="00E465D3" w:rsidRPr="00381E79">
        <w:rPr>
          <w:rFonts w:ascii="Times New Roman" w:hAnsi="Times New Roman" w:cs="Times New Roman"/>
          <w:spacing w:val="-4"/>
          <w:sz w:val="24"/>
          <w:szCs w:val="24"/>
        </w:rPr>
        <w:t xml:space="preserve"> wymaga </w:t>
      </w:r>
      <w:r w:rsidR="00E465D3" w:rsidRPr="00381E79">
        <w:rPr>
          <w:rFonts w:ascii="Times New Roman" w:hAnsi="Times New Roman" w:cs="Times New Roman"/>
          <w:i/>
          <w:spacing w:val="-4"/>
          <w:sz w:val="24"/>
          <w:szCs w:val="24"/>
        </w:rPr>
        <w:t>definiowania</w:t>
      </w:r>
      <w:r w:rsidR="00E465D3" w:rsidRPr="00381E79">
        <w:rPr>
          <w:rFonts w:ascii="Times New Roman" w:hAnsi="Times New Roman" w:cs="Times New Roman"/>
          <w:spacing w:val="-4"/>
          <w:sz w:val="24"/>
          <w:szCs w:val="24"/>
        </w:rPr>
        <w:t xml:space="preserve"> elementów</w:t>
      </w:r>
      <w:r w:rsidR="00E465D3">
        <w:rPr>
          <w:rFonts w:ascii="Times New Roman" w:hAnsi="Times New Roman" w:cs="Times New Roman"/>
          <w:sz w:val="24"/>
          <w:szCs w:val="24"/>
        </w:rPr>
        <w:t xml:space="preserve"> tego potencjału</w:t>
      </w:r>
      <w:r w:rsidR="008C41F1">
        <w:rPr>
          <w:rFonts w:ascii="Times New Roman" w:hAnsi="Times New Roman" w:cs="Times New Roman"/>
          <w:sz w:val="24"/>
          <w:szCs w:val="24"/>
        </w:rPr>
        <w:t xml:space="preserve">. </w:t>
      </w:r>
      <w:r w:rsidR="00E465D3">
        <w:rPr>
          <w:rFonts w:ascii="Times New Roman" w:hAnsi="Times New Roman" w:cs="Times New Roman"/>
          <w:sz w:val="24"/>
          <w:szCs w:val="24"/>
        </w:rPr>
        <w:t xml:space="preserve">Wówczas </w:t>
      </w:r>
      <w:r w:rsidR="00E465D3" w:rsidRPr="00E465D3">
        <w:rPr>
          <w:rFonts w:ascii="Times New Roman" w:hAnsi="Times New Roman" w:cs="Times New Roman"/>
          <w:spacing w:val="-2"/>
          <w:sz w:val="24"/>
          <w:szCs w:val="24"/>
        </w:rPr>
        <w:t xml:space="preserve">uzyskamy efekt w postaci </w:t>
      </w:r>
      <w:r w:rsidR="00E465D3" w:rsidRPr="00381E79">
        <w:rPr>
          <w:rFonts w:ascii="Times New Roman" w:hAnsi="Times New Roman" w:cs="Times New Roman"/>
          <w:i/>
          <w:spacing w:val="-2"/>
          <w:sz w:val="24"/>
          <w:szCs w:val="24"/>
        </w:rPr>
        <w:t>o</w:t>
      </w:r>
      <w:r w:rsidR="008C41F1" w:rsidRPr="00381E79">
        <w:rPr>
          <w:rFonts w:ascii="Times New Roman" w:hAnsi="Times New Roman" w:cs="Times New Roman"/>
          <w:i/>
          <w:spacing w:val="-2"/>
          <w:sz w:val="24"/>
          <w:szCs w:val="24"/>
        </w:rPr>
        <w:t>cen</w:t>
      </w:r>
      <w:r w:rsidR="00E465D3" w:rsidRPr="00381E79">
        <w:rPr>
          <w:rFonts w:ascii="Times New Roman" w:hAnsi="Times New Roman" w:cs="Times New Roman"/>
          <w:i/>
          <w:spacing w:val="-2"/>
          <w:sz w:val="24"/>
          <w:szCs w:val="24"/>
        </w:rPr>
        <w:t>y</w:t>
      </w:r>
      <w:r w:rsidR="008C41F1" w:rsidRPr="00E465D3">
        <w:rPr>
          <w:rFonts w:ascii="Times New Roman" w:hAnsi="Times New Roman" w:cs="Times New Roman"/>
          <w:spacing w:val="-2"/>
          <w:sz w:val="24"/>
          <w:szCs w:val="24"/>
        </w:rPr>
        <w:t xml:space="preserve"> wyrażon</w:t>
      </w:r>
      <w:r w:rsidR="00E465D3" w:rsidRPr="00E465D3">
        <w:rPr>
          <w:rFonts w:ascii="Times New Roman" w:hAnsi="Times New Roman" w:cs="Times New Roman"/>
          <w:spacing w:val="-2"/>
          <w:sz w:val="24"/>
          <w:szCs w:val="24"/>
        </w:rPr>
        <w:t>ej</w:t>
      </w:r>
      <w:r w:rsidR="008C41F1" w:rsidRPr="00E465D3">
        <w:rPr>
          <w:rFonts w:ascii="Times New Roman" w:hAnsi="Times New Roman" w:cs="Times New Roman"/>
          <w:spacing w:val="-2"/>
          <w:sz w:val="24"/>
          <w:szCs w:val="24"/>
        </w:rPr>
        <w:t xml:space="preserve"> w </w:t>
      </w:r>
      <w:r w:rsidR="008C41F1" w:rsidRPr="00381E79">
        <w:rPr>
          <w:rFonts w:ascii="Times New Roman" w:hAnsi="Times New Roman" w:cs="Times New Roman"/>
          <w:i/>
          <w:spacing w:val="-2"/>
          <w:sz w:val="24"/>
          <w:szCs w:val="24"/>
        </w:rPr>
        <w:t>subiektywny</w:t>
      </w:r>
      <w:r w:rsidR="008C41F1" w:rsidRPr="00E465D3">
        <w:rPr>
          <w:rFonts w:ascii="Times New Roman" w:hAnsi="Times New Roman" w:cs="Times New Roman"/>
          <w:spacing w:val="-2"/>
          <w:sz w:val="24"/>
          <w:szCs w:val="24"/>
        </w:rPr>
        <w:t xml:space="preserve"> sposób przez elitę obszaru i w miarę</w:t>
      </w:r>
      <w:r w:rsidR="008C41F1">
        <w:rPr>
          <w:rFonts w:ascii="Times New Roman" w:hAnsi="Times New Roman" w:cs="Times New Roman"/>
          <w:sz w:val="24"/>
          <w:szCs w:val="24"/>
        </w:rPr>
        <w:t xml:space="preserve"> zobiektywizowany w wyniku zastosowania badań społecznych.</w:t>
      </w:r>
      <w:r w:rsidR="00B91C7F">
        <w:rPr>
          <w:rFonts w:ascii="Times New Roman" w:hAnsi="Times New Roman" w:cs="Times New Roman"/>
          <w:sz w:val="24"/>
          <w:szCs w:val="24"/>
        </w:rPr>
        <w:t xml:space="preserve"> </w:t>
      </w:r>
      <w:r w:rsidR="008C41F1">
        <w:rPr>
          <w:rFonts w:ascii="Times New Roman" w:hAnsi="Times New Roman" w:cs="Times New Roman"/>
          <w:sz w:val="24"/>
          <w:szCs w:val="24"/>
        </w:rPr>
        <w:t xml:space="preserve">Analiza SWOT to nie tylko </w:t>
      </w:r>
      <w:r w:rsidR="008C41F1" w:rsidRPr="00E465D3">
        <w:rPr>
          <w:rFonts w:ascii="Times New Roman" w:hAnsi="Times New Roman" w:cs="Times New Roman"/>
          <w:spacing w:val="-4"/>
          <w:sz w:val="24"/>
          <w:szCs w:val="24"/>
        </w:rPr>
        <w:t>identyfikowanie czynników i ich grupowanie jako mocne i słabe strony oraz szanse i zagrożenia</w:t>
      </w:r>
      <w:r w:rsidR="008C41F1">
        <w:rPr>
          <w:rFonts w:ascii="Times New Roman" w:hAnsi="Times New Roman" w:cs="Times New Roman"/>
          <w:sz w:val="24"/>
          <w:szCs w:val="24"/>
        </w:rPr>
        <w:t xml:space="preserve">. To proces </w:t>
      </w:r>
      <w:r w:rsidR="008C41F1" w:rsidRPr="00381E79">
        <w:rPr>
          <w:rFonts w:ascii="Times New Roman" w:hAnsi="Times New Roman" w:cs="Times New Roman"/>
          <w:i/>
          <w:sz w:val="24"/>
          <w:szCs w:val="24"/>
        </w:rPr>
        <w:t>selekcji</w:t>
      </w:r>
      <w:r w:rsidR="008C41F1">
        <w:rPr>
          <w:rFonts w:ascii="Times New Roman" w:hAnsi="Times New Roman" w:cs="Times New Roman"/>
          <w:sz w:val="24"/>
          <w:szCs w:val="24"/>
        </w:rPr>
        <w:t xml:space="preserve"> i nadawania </w:t>
      </w:r>
      <w:r w:rsidR="008C41F1" w:rsidRPr="00381E79">
        <w:rPr>
          <w:rFonts w:ascii="Times New Roman" w:hAnsi="Times New Roman" w:cs="Times New Roman"/>
          <w:i/>
          <w:sz w:val="24"/>
          <w:szCs w:val="24"/>
        </w:rPr>
        <w:t>rangi</w:t>
      </w:r>
      <w:r w:rsidR="008C41F1">
        <w:rPr>
          <w:rFonts w:ascii="Times New Roman" w:hAnsi="Times New Roman" w:cs="Times New Roman"/>
          <w:sz w:val="24"/>
          <w:szCs w:val="24"/>
        </w:rPr>
        <w:t xml:space="preserve"> tym czynnikom oraz proces </w:t>
      </w:r>
      <w:r w:rsidR="008C41F1" w:rsidRPr="00381E79">
        <w:rPr>
          <w:rFonts w:ascii="Times New Roman" w:hAnsi="Times New Roman" w:cs="Times New Roman"/>
          <w:i/>
          <w:sz w:val="24"/>
          <w:szCs w:val="24"/>
        </w:rPr>
        <w:t>definiowania</w:t>
      </w:r>
      <w:r w:rsidR="008C41F1">
        <w:rPr>
          <w:rFonts w:ascii="Times New Roman" w:hAnsi="Times New Roman" w:cs="Times New Roman"/>
          <w:sz w:val="24"/>
          <w:szCs w:val="24"/>
        </w:rPr>
        <w:t>, w taki sposób aby definicje czynników były jednoznaczne i zrozumiałe dla czytającego strategię. W dalszej kolejności to proc</w:t>
      </w:r>
      <w:r w:rsidR="00E465D3">
        <w:rPr>
          <w:rFonts w:ascii="Times New Roman" w:hAnsi="Times New Roman" w:cs="Times New Roman"/>
          <w:sz w:val="24"/>
          <w:szCs w:val="24"/>
        </w:rPr>
        <w:t>es intelektualny polegający na „</w:t>
      </w:r>
      <w:r w:rsidR="008C41F1">
        <w:rPr>
          <w:rFonts w:ascii="Times New Roman" w:hAnsi="Times New Roman" w:cs="Times New Roman"/>
          <w:sz w:val="24"/>
          <w:szCs w:val="24"/>
        </w:rPr>
        <w:t>wiązaniu” poszczególnych czynników z różnych zakresów prowadzący do sformułowania wniosków. To właśnie wnioski będą „wartością” wyniku analizy SWOT</w:t>
      </w:r>
      <w:r w:rsidR="00E465D3">
        <w:rPr>
          <w:rFonts w:ascii="Times New Roman" w:hAnsi="Times New Roman" w:cs="Times New Roman"/>
          <w:sz w:val="24"/>
          <w:szCs w:val="24"/>
        </w:rPr>
        <w:t>,</w:t>
      </w:r>
      <w:r w:rsidR="008C41F1">
        <w:rPr>
          <w:rFonts w:ascii="Times New Roman" w:hAnsi="Times New Roman" w:cs="Times New Roman"/>
          <w:sz w:val="24"/>
          <w:szCs w:val="24"/>
        </w:rPr>
        <w:t xml:space="preserve"> bo do nich będzie się odwoływał dalszy proces budowy strategii.</w:t>
      </w:r>
    </w:p>
    <w:p w:rsidR="000E5C7D" w:rsidRDefault="000E5C7D"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Po czwarte – należy postawić tezę, że zajęcia warsztatowe skoncentrowane na doskonaleniu umiejętności, głównie intelektualnych, osiągnęły założone cele, bowiem często prezentowane efekty pracy zespołów nominalnych stawały się pretekstem do pogłębionej analizy jak „to zrobić?” jak postępować aby uzyskać pożądany rezultat? Możliwe, że na plan dalszy schodziła sama jakość i poprawność wykonanych prac – ale co istotne, w znakomitej większości, uczestnicy wykazywali zmianę w sposobie rozumienia procesów twórczych, analiz, ocen, wartościowania, definiowania i redefiniowania, a także zależności pomiędzy tymi procesami, które mają wpływ na jakość budowy strategii.</w:t>
      </w:r>
    </w:p>
    <w:p w:rsidR="00381E79" w:rsidRDefault="00381E79"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Ponadto warto odnotować następujące obserwacje:</w:t>
      </w:r>
    </w:p>
    <w:p w:rsidR="003C2358" w:rsidRDefault="00381E79" w:rsidP="003C2358">
      <w:pPr>
        <w:pStyle w:val="Akapitzlist"/>
        <w:numPr>
          <w:ilvl w:val="0"/>
          <w:numId w:val="6"/>
        </w:numPr>
        <w:spacing w:after="120" w:line="312" w:lineRule="auto"/>
        <w:jc w:val="both"/>
      </w:pPr>
      <w:r w:rsidRPr="003C2358">
        <w:t>zasada prezentacji trenera (trenerów) a następnie uczestników</w:t>
      </w:r>
      <w:r w:rsidR="003C2358" w:rsidRPr="003C2358">
        <w:t xml:space="preserve"> i „przy okazji” </w:t>
      </w:r>
      <w:r w:rsidR="003C2358">
        <w:t>swobodna</w:t>
      </w:r>
      <w:r w:rsidR="003C2358" w:rsidRPr="003C2358">
        <w:t xml:space="preserve"> wymiana poglądów na temat doświadczeń z realizacji LSR oraz oczekiwa</w:t>
      </w:r>
      <w:r w:rsidR="003C2358">
        <w:t>nych</w:t>
      </w:r>
      <w:r w:rsidR="003C2358" w:rsidRPr="003C2358">
        <w:t xml:space="preserve"> rozwiązań na „nowy okres” programowania</w:t>
      </w:r>
      <w:r w:rsidR="003C2358">
        <w:t xml:space="preserve"> spowodowały, że</w:t>
      </w:r>
      <w:r w:rsidR="003C2358" w:rsidRPr="003C2358">
        <w:t xml:space="preserve"> wytworzyła się (najczęściej – choć nie zawsze) atmosfera zaufania i wzajemnego zrozumienia pomiędzy organizatorami, trenerami i uczestnikami – to ważny czynnik wzmacniający efekty szkolenia,</w:t>
      </w:r>
    </w:p>
    <w:p w:rsidR="003C2358" w:rsidRDefault="003C2358" w:rsidP="003C2358">
      <w:pPr>
        <w:pStyle w:val="Akapitzlist"/>
        <w:numPr>
          <w:ilvl w:val="0"/>
          <w:numId w:val="6"/>
        </w:numPr>
        <w:spacing w:after="120" w:line="312" w:lineRule="auto"/>
        <w:jc w:val="both"/>
      </w:pPr>
      <w:r>
        <w:t>zasada wsparcia wykładów mapami mentalnymi (w dużym formacie eksponowanymi na sali i w małym formacie zamieszczonymi w materiałach szkoleniowych) i odwoływanie się do ich zawartości w trakcie wykładów prowadziła do zwiększenia zainteresowania treściami teoretycznymi i wspierała proces zrozumienia istoty omawianego zagadnienia,</w:t>
      </w:r>
    </w:p>
    <w:p w:rsidR="003C2358" w:rsidRDefault="003C2358" w:rsidP="003C2358">
      <w:pPr>
        <w:pStyle w:val="Akapitzlist"/>
        <w:numPr>
          <w:ilvl w:val="0"/>
          <w:numId w:val="6"/>
        </w:numPr>
        <w:spacing w:after="120" w:line="312" w:lineRule="auto"/>
        <w:jc w:val="both"/>
      </w:pPr>
      <w:r>
        <w:t>„użycie” w trakcie szkolenia „rozciągaczy umysłu” (czasem sceptycznie przyjmowane przez uczestników szkoleń) powodowało „wyłączenie” się uczestników z bieżących spraw</w:t>
      </w:r>
      <w:r w:rsidR="000E5C7D">
        <w:t xml:space="preserve"> i uruchomienie wyobraźni oraz wyzwolenie kreatywności, co przekładało się na wysoką jakość wykonywanych prac w trakcie zajęć warsztatowych,</w:t>
      </w:r>
    </w:p>
    <w:p w:rsidR="004613BD" w:rsidRDefault="000E5C7D" w:rsidP="003C2358">
      <w:pPr>
        <w:pStyle w:val="Akapitzlist"/>
        <w:numPr>
          <w:ilvl w:val="0"/>
          <w:numId w:val="6"/>
        </w:numPr>
        <w:spacing w:after="120" w:line="312" w:lineRule="auto"/>
        <w:jc w:val="both"/>
      </w:pPr>
      <w:r>
        <w:t xml:space="preserve">zastosowanie metody pracy w zespołach nominalnych liczących nie więcej niż 5 osób </w:t>
      </w:r>
      <w:r w:rsidR="00266617">
        <w:br/>
      </w:r>
      <w:r>
        <w:t>(z nielicznymi wyjątkami) prowadziła do aktywności wszystkich członków zespołu</w:t>
      </w:r>
      <w:r w:rsidR="004613BD">
        <w:t xml:space="preserve">, to również można było zaobserwować w trakcie prezentacji wyników pracy zespołu, otóż </w:t>
      </w:r>
      <w:r w:rsidR="004613BD">
        <w:lastRenderedPageBreak/>
        <w:t xml:space="preserve">pozostali (poza referentem) członkowie zespołu emocjonalnie reagowali na to co było prezentowane oraz na pytania, uwagi, krytykę czy pochwały pozostałych uczestników szkolenia (z innych zespołów nominalnych), świadczyć to może o wysokim stopniu zaangażowania się w proces dydaktyczny i uznanie wartości tak metody jak i całego szkolenia, tym bardziej, że trenerzy informowali na początku szkolenia o jego celach </w:t>
      </w:r>
      <w:r w:rsidR="004613BD">
        <w:br/>
        <w:t>i zakładanych rezultatach w tym co ważne oczekiwaniu, że uczestnicy szkolenia potrafią uzyskaną wiedzę i nabyte umiejętności nie tylko „wykorzystać” (zastosować) w pracach nad budową strategii w swoich LGD ale również przekazać swoim współpracownikom.</w:t>
      </w:r>
    </w:p>
    <w:p w:rsidR="007528BA" w:rsidRDefault="007528BA" w:rsidP="007528BA">
      <w:pPr>
        <w:jc w:val="both"/>
        <w:rPr>
          <w:rFonts w:ascii="Times New Roman" w:hAnsi="Times New Roman" w:cs="Times New Roman"/>
          <w:sz w:val="24"/>
          <w:szCs w:val="24"/>
        </w:rPr>
      </w:pPr>
      <w:r>
        <w:rPr>
          <w:rFonts w:ascii="Times New Roman" w:hAnsi="Times New Roman" w:cs="Times New Roman"/>
          <w:sz w:val="24"/>
          <w:szCs w:val="24"/>
        </w:rPr>
        <w:t>Każde z 16 szkoleń trwało 8 godz. lekcyjnych i przebiegało według jed</w:t>
      </w:r>
      <w:r w:rsidR="00266617">
        <w:rPr>
          <w:rFonts w:ascii="Times New Roman" w:hAnsi="Times New Roman" w:cs="Times New Roman"/>
          <w:sz w:val="24"/>
          <w:szCs w:val="24"/>
        </w:rPr>
        <w:t>nego szczegółowego harmonogramu:</w:t>
      </w:r>
    </w:p>
    <w:p w:rsidR="007528BA" w:rsidRPr="007528BA" w:rsidRDefault="007528BA" w:rsidP="007528BA">
      <w:pPr>
        <w:widowControl w:val="0"/>
        <w:autoSpaceDE w:val="0"/>
        <w:autoSpaceDN w:val="0"/>
        <w:spacing w:after="120" w:line="312" w:lineRule="auto"/>
        <w:outlineLvl w:val="0"/>
        <w:rPr>
          <w:rFonts w:ascii="Times New Roman" w:hAnsi="Times New Roman" w:cs="Times New Roman"/>
          <w:sz w:val="24"/>
          <w:szCs w:val="24"/>
        </w:rPr>
      </w:pPr>
      <w:r w:rsidRPr="007528BA">
        <w:rPr>
          <w:rFonts w:ascii="Times New Roman" w:hAnsi="Times New Roman" w:cs="Times New Roman"/>
          <w:sz w:val="24"/>
          <w:szCs w:val="24"/>
        </w:rPr>
        <w:t>do 9.00 – Przyjazd, rejestracja uczestników, serwis kawowy</w:t>
      </w:r>
    </w:p>
    <w:p w:rsidR="007528BA" w:rsidRPr="007528BA" w:rsidRDefault="007528BA" w:rsidP="007528BA">
      <w:pPr>
        <w:widowControl w:val="0"/>
        <w:autoSpaceDE w:val="0"/>
        <w:autoSpaceDN w:val="0"/>
        <w:spacing w:after="120" w:line="312" w:lineRule="auto"/>
        <w:outlineLvl w:val="0"/>
        <w:rPr>
          <w:rFonts w:ascii="Times New Roman" w:hAnsi="Times New Roman" w:cs="Times New Roman"/>
          <w:sz w:val="24"/>
          <w:szCs w:val="24"/>
        </w:rPr>
      </w:pPr>
      <w:r w:rsidRPr="007528BA">
        <w:rPr>
          <w:rFonts w:ascii="Times New Roman" w:hAnsi="Times New Roman" w:cs="Times New Roman"/>
          <w:sz w:val="24"/>
          <w:szCs w:val="24"/>
        </w:rPr>
        <w:t xml:space="preserve">  9.00-  9.15 – Otwarcie szkolenia, przedstawienie się uczestników, cel i program</w:t>
      </w:r>
    </w:p>
    <w:p w:rsidR="007528BA" w:rsidRPr="007528BA" w:rsidRDefault="007528BA" w:rsidP="007528BA">
      <w:pPr>
        <w:widowControl w:val="0"/>
        <w:autoSpaceDE w:val="0"/>
        <w:autoSpaceDN w:val="0"/>
        <w:spacing w:after="120" w:line="312" w:lineRule="auto"/>
        <w:ind w:left="1389" w:hanging="1389"/>
        <w:outlineLvl w:val="0"/>
        <w:rPr>
          <w:rFonts w:ascii="Times New Roman" w:hAnsi="Times New Roman" w:cs="Times New Roman"/>
          <w:sz w:val="24"/>
          <w:szCs w:val="24"/>
        </w:rPr>
      </w:pPr>
      <w:r w:rsidRPr="007528BA">
        <w:rPr>
          <w:rFonts w:ascii="Times New Roman" w:hAnsi="Times New Roman" w:cs="Times New Roman"/>
          <w:sz w:val="24"/>
          <w:szCs w:val="24"/>
        </w:rPr>
        <w:t xml:space="preserve">  9.15-10.00 – Przygotowanie strategii i przeprowadzanie analizy SWOT – wykład wprowadzający do tematyki szkolenia [1 godz.]</w:t>
      </w:r>
    </w:p>
    <w:p w:rsidR="007528BA" w:rsidRPr="007528BA" w:rsidRDefault="007528BA" w:rsidP="007528BA">
      <w:pPr>
        <w:widowControl w:val="0"/>
        <w:autoSpaceDE w:val="0"/>
        <w:autoSpaceDN w:val="0"/>
        <w:spacing w:after="120" w:line="312" w:lineRule="auto"/>
        <w:ind w:left="1389" w:hanging="1389"/>
        <w:outlineLvl w:val="0"/>
        <w:rPr>
          <w:rFonts w:ascii="Times New Roman" w:hAnsi="Times New Roman" w:cs="Times New Roman"/>
          <w:sz w:val="24"/>
          <w:szCs w:val="24"/>
        </w:rPr>
      </w:pPr>
      <w:r w:rsidRPr="007528BA">
        <w:rPr>
          <w:rFonts w:ascii="Times New Roman" w:hAnsi="Times New Roman" w:cs="Times New Roman"/>
          <w:sz w:val="24"/>
          <w:szCs w:val="24"/>
        </w:rPr>
        <w:t xml:space="preserve">10.00-11.30 – </w:t>
      </w:r>
      <w:r w:rsidRPr="007528BA">
        <w:rPr>
          <w:rFonts w:ascii="Times New Roman" w:hAnsi="Times New Roman" w:cs="Times New Roman"/>
          <w:spacing w:val="-4"/>
          <w:sz w:val="24"/>
          <w:szCs w:val="24"/>
        </w:rPr>
        <w:t>Diagnoza obszaru, w tym analiza SWOT, jako ważny element przygotowania</w:t>
      </w:r>
      <w:r w:rsidRPr="007528BA">
        <w:rPr>
          <w:rFonts w:ascii="Times New Roman" w:hAnsi="Times New Roman" w:cs="Times New Roman"/>
          <w:sz w:val="24"/>
          <w:szCs w:val="24"/>
        </w:rPr>
        <w:t xml:space="preserve"> strategii – wykład w formie prezentacji multimedialnej [2 godz.];</w:t>
      </w:r>
    </w:p>
    <w:p w:rsidR="007528BA" w:rsidRPr="007528BA" w:rsidRDefault="007528BA" w:rsidP="007528BA">
      <w:pPr>
        <w:widowControl w:val="0"/>
        <w:autoSpaceDE w:val="0"/>
        <w:autoSpaceDN w:val="0"/>
        <w:spacing w:after="120" w:line="312" w:lineRule="auto"/>
        <w:ind w:left="1389" w:hanging="1389"/>
        <w:outlineLvl w:val="0"/>
        <w:rPr>
          <w:rFonts w:ascii="Times New Roman" w:hAnsi="Times New Roman" w:cs="Times New Roman"/>
          <w:sz w:val="24"/>
          <w:szCs w:val="24"/>
        </w:rPr>
      </w:pPr>
      <w:r w:rsidRPr="007528BA">
        <w:rPr>
          <w:rFonts w:ascii="Times New Roman" w:hAnsi="Times New Roman" w:cs="Times New Roman"/>
          <w:sz w:val="24"/>
          <w:szCs w:val="24"/>
        </w:rPr>
        <w:t>11.30-11.45 – Przerwa kawowa;</w:t>
      </w:r>
    </w:p>
    <w:p w:rsidR="007528BA" w:rsidRPr="007528BA" w:rsidRDefault="007528BA" w:rsidP="007528BA">
      <w:pPr>
        <w:widowControl w:val="0"/>
        <w:autoSpaceDE w:val="0"/>
        <w:autoSpaceDN w:val="0"/>
        <w:spacing w:after="120" w:line="312" w:lineRule="auto"/>
        <w:ind w:left="1389" w:hanging="1389"/>
        <w:outlineLvl w:val="0"/>
        <w:rPr>
          <w:rFonts w:ascii="Times New Roman" w:hAnsi="Times New Roman" w:cs="Times New Roman"/>
          <w:sz w:val="24"/>
          <w:szCs w:val="24"/>
        </w:rPr>
      </w:pPr>
      <w:r w:rsidRPr="007528BA">
        <w:rPr>
          <w:rFonts w:ascii="Times New Roman" w:hAnsi="Times New Roman" w:cs="Times New Roman"/>
          <w:sz w:val="24"/>
          <w:szCs w:val="24"/>
        </w:rPr>
        <w:t xml:space="preserve">11.45-14.00 – Diagnoza obszaru wyprowadzona z analizy danych opisujących obszar wraz </w:t>
      </w:r>
      <w:r>
        <w:rPr>
          <w:rFonts w:ascii="Times New Roman" w:hAnsi="Times New Roman" w:cs="Times New Roman"/>
          <w:sz w:val="24"/>
          <w:szCs w:val="24"/>
        </w:rPr>
        <w:br/>
      </w:r>
      <w:r w:rsidRPr="007528BA">
        <w:rPr>
          <w:rFonts w:ascii="Times New Roman" w:hAnsi="Times New Roman" w:cs="Times New Roman"/>
          <w:sz w:val="24"/>
          <w:szCs w:val="24"/>
        </w:rPr>
        <w:t xml:space="preserve">z analizą SWOT i wnioskami – warsztaty techniką </w:t>
      </w:r>
      <w:proofErr w:type="spellStart"/>
      <w:r w:rsidRPr="007528BA">
        <w:rPr>
          <w:rFonts w:ascii="Times New Roman" w:hAnsi="Times New Roman" w:cs="Times New Roman"/>
          <w:sz w:val="24"/>
          <w:szCs w:val="24"/>
        </w:rPr>
        <w:t>case</w:t>
      </w:r>
      <w:proofErr w:type="spellEnd"/>
      <w:r w:rsidRPr="007528BA">
        <w:rPr>
          <w:rFonts w:ascii="Times New Roman" w:hAnsi="Times New Roman" w:cs="Times New Roman"/>
          <w:sz w:val="24"/>
          <w:szCs w:val="24"/>
        </w:rPr>
        <w:t xml:space="preserve"> </w:t>
      </w:r>
      <w:proofErr w:type="spellStart"/>
      <w:r w:rsidRPr="007528BA">
        <w:rPr>
          <w:rFonts w:ascii="Times New Roman" w:hAnsi="Times New Roman" w:cs="Times New Roman"/>
          <w:sz w:val="24"/>
          <w:szCs w:val="24"/>
        </w:rPr>
        <w:t>study</w:t>
      </w:r>
      <w:proofErr w:type="spellEnd"/>
      <w:r w:rsidR="005E2490">
        <w:rPr>
          <w:rFonts w:ascii="Times New Roman" w:hAnsi="Times New Roman" w:cs="Times New Roman"/>
          <w:sz w:val="24"/>
          <w:szCs w:val="24"/>
        </w:rPr>
        <w:t xml:space="preserve"> [3 godz.]</w:t>
      </w:r>
    </w:p>
    <w:p w:rsidR="007528BA" w:rsidRPr="007528BA" w:rsidRDefault="007528BA" w:rsidP="007528BA">
      <w:pPr>
        <w:widowControl w:val="0"/>
        <w:autoSpaceDE w:val="0"/>
        <w:autoSpaceDN w:val="0"/>
        <w:spacing w:after="120" w:line="312" w:lineRule="auto"/>
        <w:ind w:left="1389" w:hanging="1389"/>
        <w:outlineLvl w:val="0"/>
        <w:rPr>
          <w:rFonts w:ascii="Times New Roman" w:hAnsi="Times New Roman" w:cs="Times New Roman"/>
          <w:sz w:val="24"/>
          <w:szCs w:val="24"/>
        </w:rPr>
      </w:pPr>
      <w:r w:rsidRPr="007528BA">
        <w:rPr>
          <w:rFonts w:ascii="Times New Roman" w:hAnsi="Times New Roman" w:cs="Times New Roman"/>
          <w:sz w:val="24"/>
          <w:szCs w:val="24"/>
        </w:rPr>
        <w:t>14.00-15.00</w:t>
      </w:r>
      <w:r w:rsidR="005E2490">
        <w:rPr>
          <w:rFonts w:ascii="Times New Roman" w:hAnsi="Times New Roman" w:cs="Times New Roman"/>
          <w:sz w:val="24"/>
          <w:szCs w:val="24"/>
        </w:rPr>
        <w:t xml:space="preserve"> – Obiad</w:t>
      </w:r>
    </w:p>
    <w:p w:rsidR="007528BA" w:rsidRPr="007528BA" w:rsidRDefault="007528BA" w:rsidP="007528BA">
      <w:pPr>
        <w:widowControl w:val="0"/>
        <w:autoSpaceDE w:val="0"/>
        <w:autoSpaceDN w:val="0"/>
        <w:spacing w:after="120" w:line="312" w:lineRule="auto"/>
        <w:ind w:left="1389" w:hanging="1389"/>
        <w:outlineLvl w:val="0"/>
        <w:rPr>
          <w:rFonts w:ascii="Times New Roman" w:hAnsi="Times New Roman" w:cs="Times New Roman"/>
          <w:sz w:val="24"/>
          <w:szCs w:val="24"/>
        </w:rPr>
      </w:pPr>
      <w:r w:rsidRPr="007528BA">
        <w:rPr>
          <w:rFonts w:ascii="Times New Roman" w:hAnsi="Times New Roman" w:cs="Times New Roman"/>
          <w:sz w:val="24"/>
          <w:szCs w:val="24"/>
        </w:rPr>
        <w:t xml:space="preserve">15.00-15.45 – Prezentacja opracowań, krytyczna analiza i ocena – dyskusja sokratejska </w:t>
      </w:r>
      <w:r w:rsidRPr="007528BA">
        <w:rPr>
          <w:rFonts w:ascii="Times New Roman" w:hAnsi="Times New Roman" w:cs="Times New Roman"/>
          <w:sz w:val="24"/>
          <w:szCs w:val="24"/>
        </w:rPr>
        <w:br/>
      </w:r>
      <w:r w:rsidR="005E2490">
        <w:rPr>
          <w:rFonts w:ascii="Times New Roman" w:hAnsi="Times New Roman" w:cs="Times New Roman"/>
          <w:sz w:val="24"/>
          <w:szCs w:val="24"/>
        </w:rPr>
        <w:t>[1 godz.]</w:t>
      </w:r>
    </w:p>
    <w:p w:rsidR="007528BA" w:rsidRPr="007528BA" w:rsidRDefault="007528BA" w:rsidP="007528BA">
      <w:pPr>
        <w:widowControl w:val="0"/>
        <w:autoSpaceDE w:val="0"/>
        <w:autoSpaceDN w:val="0"/>
        <w:spacing w:after="120" w:line="312" w:lineRule="auto"/>
        <w:ind w:left="1389" w:hanging="1389"/>
        <w:outlineLvl w:val="0"/>
        <w:rPr>
          <w:rFonts w:ascii="Times New Roman" w:hAnsi="Times New Roman" w:cs="Times New Roman"/>
          <w:sz w:val="24"/>
          <w:szCs w:val="24"/>
        </w:rPr>
      </w:pPr>
      <w:r w:rsidRPr="007528BA">
        <w:rPr>
          <w:rFonts w:ascii="Times New Roman" w:hAnsi="Times New Roman" w:cs="Times New Roman"/>
          <w:sz w:val="24"/>
          <w:szCs w:val="24"/>
        </w:rPr>
        <w:t>15.45-16.15 – Test sprawdzający [30 min.]</w:t>
      </w:r>
    </w:p>
    <w:p w:rsidR="007528BA" w:rsidRPr="007528BA" w:rsidRDefault="007528BA" w:rsidP="007528BA">
      <w:pPr>
        <w:widowControl w:val="0"/>
        <w:autoSpaceDE w:val="0"/>
        <w:autoSpaceDN w:val="0"/>
        <w:spacing w:after="120" w:line="312" w:lineRule="auto"/>
        <w:ind w:left="1389" w:hanging="1389"/>
        <w:outlineLvl w:val="0"/>
        <w:rPr>
          <w:rFonts w:ascii="Times New Roman" w:hAnsi="Times New Roman" w:cs="Times New Roman"/>
          <w:sz w:val="24"/>
          <w:szCs w:val="24"/>
        </w:rPr>
      </w:pPr>
      <w:r w:rsidRPr="007528BA">
        <w:rPr>
          <w:rFonts w:ascii="Times New Roman" w:hAnsi="Times New Roman" w:cs="Times New Roman"/>
          <w:sz w:val="24"/>
          <w:szCs w:val="24"/>
        </w:rPr>
        <w:t>16.15-17.00 – Omówienie przebiegu warsztatów oraz podsumowanie szkolenia [1 godz.]</w:t>
      </w:r>
    </w:p>
    <w:p w:rsidR="00FB3980" w:rsidRDefault="004613BD" w:rsidP="001B5722">
      <w:pPr>
        <w:jc w:val="both"/>
        <w:rPr>
          <w:rFonts w:ascii="Times New Roman" w:hAnsi="Times New Roman" w:cs="Times New Roman"/>
          <w:sz w:val="24"/>
          <w:szCs w:val="24"/>
        </w:rPr>
      </w:pPr>
      <w:r>
        <w:rPr>
          <w:rFonts w:ascii="Times New Roman" w:hAnsi="Times New Roman" w:cs="Times New Roman"/>
          <w:sz w:val="24"/>
          <w:szCs w:val="24"/>
        </w:rPr>
        <w:t xml:space="preserve">Łącznie w okresie od </w:t>
      </w:r>
      <w:r w:rsidR="001E7A2A">
        <w:rPr>
          <w:rFonts w:ascii="Times New Roman" w:hAnsi="Times New Roman" w:cs="Times New Roman"/>
          <w:sz w:val="24"/>
          <w:szCs w:val="24"/>
        </w:rPr>
        <w:t xml:space="preserve">6 </w:t>
      </w:r>
      <w:r w:rsidR="00266617">
        <w:rPr>
          <w:rFonts w:ascii="Times New Roman" w:hAnsi="Times New Roman" w:cs="Times New Roman"/>
          <w:sz w:val="24"/>
          <w:szCs w:val="24"/>
        </w:rPr>
        <w:t>października</w:t>
      </w:r>
      <w:r w:rsidR="001E7A2A">
        <w:rPr>
          <w:rFonts w:ascii="Times New Roman" w:hAnsi="Times New Roman" w:cs="Times New Roman"/>
          <w:sz w:val="24"/>
          <w:szCs w:val="24"/>
        </w:rPr>
        <w:t xml:space="preserve"> 201</w:t>
      </w:r>
      <w:r w:rsidR="00266617">
        <w:rPr>
          <w:rFonts w:ascii="Times New Roman" w:hAnsi="Times New Roman" w:cs="Times New Roman"/>
          <w:sz w:val="24"/>
          <w:szCs w:val="24"/>
        </w:rPr>
        <w:t>4</w:t>
      </w:r>
      <w:r w:rsidR="001E7A2A">
        <w:rPr>
          <w:rFonts w:ascii="Times New Roman" w:hAnsi="Times New Roman" w:cs="Times New Roman"/>
          <w:sz w:val="24"/>
          <w:szCs w:val="24"/>
        </w:rPr>
        <w:t xml:space="preserve"> roku</w:t>
      </w:r>
      <w:r>
        <w:rPr>
          <w:rFonts w:ascii="Times New Roman" w:hAnsi="Times New Roman" w:cs="Times New Roman"/>
          <w:sz w:val="24"/>
          <w:szCs w:val="24"/>
        </w:rPr>
        <w:t xml:space="preserve"> do </w:t>
      </w:r>
      <w:r w:rsidR="001E7A2A">
        <w:rPr>
          <w:rFonts w:ascii="Times New Roman" w:hAnsi="Times New Roman" w:cs="Times New Roman"/>
          <w:sz w:val="24"/>
          <w:szCs w:val="24"/>
        </w:rPr>
        <w:t>7 stycznia 2015 roku</w:t>
      </w:r>
      <w:r>
        <w:rPr>
          <w:rFonts w:ascii="Times New Roman" w:hAnsi="Times New Roman" w:cs="Times New Roman"/>
          <w:sz w:val="24"/>
          <w:szCs w:val="24"/>
        </w:rPr>
        <w:t xml:space="preserve"> przeprowadzono 16 szkoleń, po jednym w każdym województwie, w których uczestniczyło </w:t>
      </w:r>
      <w:r w:rsidR="00F46A43">
        <w:rPr>
          <w:rFonts w:ascii="Times New Roman" w:hAnsi="Times New Roman" w:cs="Times New Roman"/>
          <w:sz w:val="24"/>
          <w:szCs w:val="24"/>
        </w:rPr>
        <w:t>284</w:t>
      </w:r>
      <w:r>
        <w:rPr>
          <w:rFonts w:ascii="Times New Roman" w:hAnsi="Times New Roman" w:cs="Times New Roman"/>
          <w:sz w:val="24"/>
          <w:szCs w:val="24"/>
        </w:rPr>
        <w:t xml:space="preserve"> przedstawicieli </w:t>
      </w:r>
      <w:r w:rsidR="00F46A43">
        <w:rPr>
          <w:rFonts w:ascii="Times New Roman" w:hAnsi="Times New Roman" w:cs="Times New Roman"/>
          <w:sz w:val="24"/>
          <w:szCs w:val="24"/>
        </w:rPr>
        <w:br/>
        <w:t xml:space="preserve">z </w:t>
      </w:r>
      <w:r w:rsidRPr="00F46A43">
        <w:rPr>
          <w:rFonts w:ascii="Times New Roman" w:hAnsi="Times New Roman" w:cs="Times New Roman"/>
          <w:sz w:val="24"/>
          <w:szCs w:val="24"/>
        </w:rPr>
        <w:t>2</w:t>
      </w:r>
      <w:r w:rsidR="00F46A43" w:rsidRPr="00F46A43">
        <w:rPr>
          <w:rFonts w:ascii="Times New Roman" w:hAnsi="Times New Roman" w:cs="Times New Roman"/>
          <w:sz w:val="24"/>
          <w:szCs w:val="24"/>
        </w:rPr>
        <w:t>26</w:t>
      </w:r>
      <w:r w:rsidRPr="00F46A43">
        <w:rPr>
          <w:rFonts w:ascii="Times New Roman" w:hAnsi="Times New Roman" w:cs="Times New Roman"/>
          <w:sz w:val="24"/>
          <w:szCs w:val="24"/>
        </w:rPr>
        <w:t xml:space="preserve"> LGD.</w:t>
      </w:r>
    </w:p>
    <w:p w:rsidR="00BE6E2B" w:rsidRDefault="00BE6E2B" w:rsidP="001B5722">
      <w:pPr>
        <w:jc w:val="both"/>
        <w:rPr>
          <w:rFonts w:ascii="Times New Roman" w:hAnsi="Times New Roman" w:cs="Times New Roman"/>
          <w:sz w:val="24"/>
          <w:szCs w:val="24"/>
        </w:rPr>
      </w:pPr>
    </w:p>
    <w:sectPr w:rsidR="00BE6E2B" w:rsidSect="00EB6AF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C5" w:rsidRDefault="00410DC5" w:rsidP="00A81109">
      <w:pPr>
        <w:spacing w:after="0" w:line="240" w:lineRule="auto"/>
      </w:pPr>
      <w:r>
        <w:separator/>
      </w:r>
    </w:p>
  </w:endnote>
  <w:endnote w:type="continuationSeparator" w:id="0">
    <w:p w:rsidR="00410DC5" w:rsidRDefault="00410DC5" w:rsidP="00A8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870"/>
      <w:docPartObj>
        <w:docPartGallery w:val="Page Numbers (Bottom of Page)"/>
        <w:docPartUnique/>
      </w:docPartObj>
    </w:sdtPr>
    <w:sdtEndPr/>
    <w:sdtContent>
      <w:p w:rsidR="004613BD" w:rsidRDefault="00767FD5">
        <w:pPr>
          <w:pStyle w:val="Stopka"/>
          <w:jc w:val="center"/>
        </w:pPr>
        <w:r>
          <w:fldChar w:fldCharType="begin"/>
        </w:r>
        <w:r>
          <w:instrText xml:space="preserve"> PAGE   \* MERGEFORMAT </w:instrText>
        </w:r>
        <w:r>
          <w:fldChar w:fldCharType="separate"/>
        </w:r>
        <w:r w:rsidR="00BB195F">
          <w:rPr>
            <w:noProof/>
          </w:rPr>
          <w:t>1</w:t>
        </w:r>
        <w:r>
          <w:rPr>
            <w:noProof/>
          </w:rPr>
          <w:fldChar w:fldCharType="end"/>
        </w:r>
      </w:p>
    </w:sdtContent>
  </w:sdt>
  <w:p w:rsidR="004613BD" w:rsidRDefault="004613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C5" w:rsidRDefault="00410DC5" w:rsidP="00A81109">
      <w:pPr>
        <w:spacing w:after="0" w:line="240" w:lineRule="auto"/>
      </w:pPr>
      <w:r>
        <w:separator/>
      </w:r>
    </w:p>
  </w:footnote>
  <w:footnote w:type="continuationSeparator" w:id="0">
    <w:p w:rsidR="00410DC5" w:rsidRDefault="00410DC5" w:rsidP="00A81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2FC4"/>
    <w:multiLevelType w:val="hybridMultilevel"/>
    <w:tmpl w:val="7924E14C"/>
    <w:lvl w:ilvl="0" w:tplc="C1266416">
      <w:start w:val="1"/>
      <w:numFmt w:val="bullet"/>
      <w:lvlText w:val="-"/>
      <w:lvlJc w:val="left"/>
      <w:pPr>
        <w:ind w:left="720" w:hanging="360"/>
      </w:pPr>
      <w:rPr>
        <w:rFonts w:ascii="Tahoma" w:hAnsi="Tahom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E0F4EDC"/>
    <w:multiLevelType w:val="hybridMultilevel"/>
    <w:tmpl w:val="32B47FE4"/>
    <w:lvl w:ilvl="0" w:tplc="C1266416">
      <w:start w:val="1"/>
      <w:numFmt w:val="bullet"/>
      <w:lvlText w:val="-"/>
      <w:lvlJc w:val="left"/>
      <w:pPr>
        <w:ind w:left="720" w:hanging="360"/>
      </w:pPr>
      <w:rPr>
        <w:rFonts w:ascii="Tahoma" w:hAnsi="Tahoma" w:hint="default"/>
      </w:rPr>
    </w:lvl>
    <w:lvl w:ilvl="1" w:tplc="5E5EACB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7A80A8D"/>
    <w:multiLevelType w:val="hybridMultilevel"/>
    <w:tmpl w:val="E99A59E0"/>
    <w:lvl w:ilvl="0" w:tplc="0415001B">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35F0646"/>
    <w:multiLevelType w:val="hybridMultilevel"/>
    <w:tmpl w:val="D0724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D9F3302"/>
    <w:multiLevelType w:val="hybridMultilevel"/>
    <w:tmpl w:val="FC60AA52"/>
    <w:lvl w:ilvl="0" w:tplc="3C5626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70F2"/>
    <w:rsid w:val="000001D7"/>
    <w:rsid w:val="00004B23"/>
    <w:rsid w:val="000334EE"/>
    <w:rsid w:val="00041E0A"/>
    <w:rsid w:val="00056D32"/>
    <w:rsid w:val="000719A7"/>
    <w:rsid w:val="0008170C"/>
    <w:rsid w:val="00096F74"/>
    <w:rsid w:val="000B3D25"/>
    <w:rsid w:val="000B4F54"/>
    <w:rsid w:val="000C1C04"/>
    <w:rsid w:val="000C4637"/>
    <w:rsid w:val="000D30E4"/>
    <w:rsid w:val="000D65B9"/>
    <w:rsid w:val="000E09D9"/>
    <w:rsid w:val="000E0BF3"/>
    <w:rsid w:val="000E5C7D"/>
    <w:rsid w:val="000F2E17"/>
    <w:rsid w:val="00113A87"/>
    <w:rsid w:val="00126CE9"/>
    <w:rsid w:val="001274CA"/>
    <w:rsid w:val="00127EF5"/>
    <w:rsid w:val="001656E5"/>
    <w:rsid w:val="00167DD9"/>
    <w:rsid w:val="00173AA4"/>
    <w:rsid w:val="00175225"/>
    <w:rsid w:val="0017689D"/>
    <w:rsid w:val="00176D5F"/>
    <w:rsid w:val="00184556"/>
    <w:rsid w:val="001A5359"/>
    <w:rsid w:val="001B2D0D"/>
    <w:rsid w:val="001B5722"/>
    <w:rsid w:val="001B7B7C"/>
    <w:rsid w:val="001C7EF4"/>
    <w:rsid w:val="001D7546"/>
    <w:rsid w:val="001E7A2A"/>
    <w:rsid w:val="001F3D19"/>
    <w:rsid w:val="001F4F52"/>
    <w:rsid w:val="0020201D"/>
    <w:rsid w:val="00206223"/>
    <w:rsid w:val="002109CC"/>
    <w:rsid w:val="00220CA4"/>
    <w:rsid w:val="002218CA"/>
    <w:rsid w:val="0024108D"/>
    <w:rsid w:val="00254105"/>
    <w:rsid w:val="002579EA"/>
    <w:rsid w:val="00260998"/>
    <w:rsid w:val="00266617"/>
    <w:rsid w:val="00276EDB"/>
    <w:rsid w:val="0029052B"/>
    <w:rsid w:val="002A2DD2"/>
    <w:rsid w:val="003004DC"/>
    <w:rsid w:val="00315167"/>
    <w:rsid w:val="0031589D"/>
    <w:rsid w:val="00322984"/>
    <w:rsid w:val="00324E17"/>
    <w:rsid w:val="00330162"/>
    <w:rsid w:val="00344181"/>
    <w:rsid w:val="0034603F"/>
    <w:rsid w:val="00377544"/>
    <w:rsid w:val="00381E79"/>
    <w:rsid w:val="0038468A"/>
    <w:rsid w:val="00396A6C"/>
    <w:rsid w:val="003C0885"/>
    <w:rsid w:val="003C2358"/>
    <w:rsid w:val="003C3B88"/>
    <w:rsid w:val="003D0E08"/>
    <w:rsid w:val="003D2B46"/>
    <w:rsid w:val="003D4D97"/>
    <w:rsid w:val="003F0B9A"/>
    <w:rsid w:val="003F4C9C"/>
    <w:rsid w:val="00403DB1"/>
    <w:rsid w:val="00410DC5"/>
    <w:rsid w:val="00417C43"/>
    <w:rsid w:val="00427098"/>
    <w:rsid w:val="00432495"/>
    <w:rsid w:val="00444679"/>
    <w:rsid w:val="0044559D"/>
    <w:rsid w:val="0045108D"/>
    <w:rsid w:val="004613BD"/>
    <w:rsid w:val="00466C25"/>
    <w:rsid w:val="00471038"/>
    <w:rsid w:val="00481D68"/>
    <w:rsid w:val="004B1101"/>
    <w:rsid w:val="004B20E3"/>
    <w:rsid w:val="004B6DE2"/>
    <w:rsid w:val="004C2E3D"/>
    <w:rsid w:val="004D458B"/>
    <w:rsid w:val="004F17B4"/>
    <w:rsid w:val="00515B61"/>
    <w:rsid w:val="00517018"/>
    <w:rsid w:val="00523AC2"/>
    <w:rsid w:val="0052690D"/>
    <w:rsid w:val="00540C4E"/>
    <w:rsid w:val="005502C4"/>
    <w:rsid w:val="0055139D"/>
    <w:rsid w:val="00566137"/>
    <w:rsid w:val="00573D34"/>
    <w:rsid w:val="00583CFF"/>
    <w:rsid w:val="00583E9C"/>
    <w:rsid w:val="005902B0"/>
    <w:rsid w:val="005A21D8"/>
    <w:rsid w:val="005A26D2"/>
    <w:rsid w:val="005A2957"/>
    <w:rsid w:val="005A7840"/>
    <w:rsid w:val="005B335E"/>
    <w:rsid w:val="005C73F9"/>
    <w:rsid w:val="005E2490"/>
    <w:rsid w:val="006057D0"/>
    <w:rsid w:val="00610583"/>
    <w:rsid w:val="00621A00"/>
    <w:rsid w:val="00627C0F"/>
    <w:rsid w:val="00631205"/>
    <w:rsid w:val="006333D6"/>
    <w:rsid w:val="0064515A"/>
    <w:rsid w:val="00650048"/>
    <w:rsid w:val="006500A6"/>
    <w:rsid w:val="00655ACD"/>
    <w:rsid w:val="0065630F"/>
    <w:rsid w:val="006570F2"/>
    <w:rsid w:val="006633AF"/>
    <w:rsid w:val="00666BCE"/>
    <w:rsid w:val="006803C0"/>
    <w:rsid w:val="00692817"/>
    <w:rsid w:val="006B57CE"/>
    <w:rsid w:val="00700550"/>
    <w:rsid w:val="0070581E"/>
    <w:rsid w:val="0070754F"/>
    <w:rsid w:val="00711911"/>
    <w:rsid w:val="00712DAB"/>
    <w:rsid w:val="007251C1"/>
    <w:rsid w:val="007321D5"/>
    <w:rsid w:val="00732890"/>
    <w:rsid w:val="00732EE3"/>
    <w:rsid w:val="00741BB5"/>
    <w:rsid w:val="007528BA"/>
    <w:rsid w:val="00767FD5"/>
    <w:rsid w:val="007700F2"/>
    <w:rsid w:val="00775C5F"/>
    <w:rsid w:val="00797E3C"/>
    <w:rsid w:val="00797F16"/>
    <w:rsid w:val="007A1D02"/>
    <w:rsid w:val="007C4478"/>
    <w:rsid w:val="007D7491"/>
    <w:rsid w:val="007E0551"/>
    <w:rsid w:val="007E7278"/>
    <w:rsid w:val="008174A7"/>
    <w:rsid w:val="008219BB"/>
    <w:rsid w:val="00833DED"/>
    <w:rsid w:val="00853812"/>
    <w:rsid w:val="00871F2A"/>
    <w:rsid w:val="008916E3"/>
    <w:rsid w:val="008A07C1"/>
    <w:rsid w:val="008A2827"/>
    <w:rsid w:val="008C41F1"/>
    <w:rsid w:val="008C5767"/>
    <w:rsid w:val="00903E91"/>
    <w:rsid w:val="00907F57"/>
    <w:rsid w:val="00910138"/>
    <w:rsid w:val="0092050E"/>
    <w:rsid w:val="00935F14"/>
    <w:rsid w:val="009512EA"/>
    <w:rsid w:val="009646C4"/>
    <w:rsid w:val="00976F3D"/>
    <w:rsid w:val="009901F5"/>
    <w:rsid w:val="009A2A00"/>
    <w:rsid w:val="009A3569"/>
    <w:rsid w:val="009A76A9"/>
    <w:rsid w:val="009B3AD2"/>
    <w:rsid w:val="009B6BF9"/>
    <w:rsid w:val="009D6377"/>
    <w:rsid w:val="009F2768"/>
    <w:rsid w:val="00A01910"/>
    <w:rsid w:val="00A020AE"/>
    <w:rsid w:val="00A11C07"/>
    <w:rsid w:val="00A22147"/>
    <w:rsid w:val="00A34593"/>
    <w:rsid w:val="00A710F2"/>
    <w:rsid w:val="00A739CC"/>
    <w:rsid w:val="00A76000"/>
    <w:rsid w:val="00A81109"/>
    <w:rsid w:val="00A859D0"/>
    <w:rsid w:val="00A93A7A"/>
    <w:rsid w:val="00A96AE2"/>
    <w:rsid w:val="00AA0B11"/>
    <w:rsid w:val="00AA37F6"/>
    <w:rsid w:val="00AA580B"/>
    <w:rsid w:val="00AC426A"/>
    <w:rsid w:val="00AC7A4C"/>
    <w:rsid w:val="00AC7CB5"/>
    <w:rsid w:val="00AD2105"/>
    <w:rsid w:val="00AD2D66"/>
    <w:rsid w:val="00B06E75"/>
    <w:rsid w:val="00B26D31"/>
    <w:rsid w:val="00B50D64"/>
    <w:rsid w:val="00B52299"/>
    <w:rsid w:val="00B553DE"/>
    <w:rsid w:val="00B621C9"/>
    <w:rsid w:val="00B672B4"/>
    <w:rsid w:val="00B76E86"/>
    <w:rsid w:val="00B91397"/>
    <w:rsid w:val="00B91C7F"/>
    <w:rsid w:val="00B94DF7"/>
    <w:rsid w:val="00BA332E"/>
    <w:rsid w:val="00BB195F"/>
    <w:rsid w:val="00BB1BBA"/>
    <w:rsid w:val="00BC6CE7"/>
    <w:rsid w:val="00BD5A5D"/>
    <w:rsid w:val="00BE016B"/>
    <w:rsid w:val="00BE0EAC"/>
    <w:rsid w:val="00BE6B6A"/>
    <w:rsid w:val="00BE6E2B"/>
    <w:rsid w:val="00BF4BD4"/>
    <w:rsid w:val="00C00EE2"/>
    <w:rsid w:val="00C111E4"/>
    <w:rsid w:val="00C1345C"/>
    <w:rsid w:val="00C14F7F"/>
    <w:rsid w:val="00C16381"/>
    <w:rsid w:val="00C2554E"/>
    <w:rsid w:val="00C63874"/>
    <w:rsid w:val="00C706F1"/>
    <w:rsid w:val="00C76CE3"/>
    <w:rsid w:val="00C805AD"/>
    <w:rsid w:val="00CA794D"/>
    <w:rsid w:val="00CB7B13"/>
    <w:rsid w:val="00CC321B"/>
    <w:rsid w:val="00CE7568"/>
    <w:rsid w:val="00CF253D"/>
    <w:rsid w:val="00CF2937"/>
    <w:rsid w:val="00CF3D29"/>
    <w:rsid w:val="00CF599A"/>
    <w:rsid w:val="00D22E2D"/>
    <w:rsid w:val="00D351ED"/>
    <w:rsid w:val="00D54566"/>
    <w:rsid w:val="00D54AE1"/>
    <w:rsid w:val="00D81690"/>
    <w:rsid w:val="00D83029"/>
    <w:rsid w:val="00D909D8"/>
    <w:rsid w:val="00D90FED"/>
    <w:rsid w:val="00D94E4E"/>
    <w:rsid w:val="00DA160A"/>
    <w:rsid w:val="00DA482F"/>
    <w:rsid w:val="00DA4D69"/>
    <w:rsid w:val="00DB11A9"/>
    <w:rsid w:val="00DB7509"/>
    <w:rsid w:val="00DD2A5B"/>
    <w:rsid w:val="00DD5A37"/>
    <w:rsid w:val="00DE3320"/>
    <w:rsid w:val="00DE727E"/>
    <w:rsid w:val="00DF326E"/>
    <w:rsid w:val="00E05D8D"/>
    <w:rsid w:val="00E11ADE"/>
    <w:rsid w:val="00E14489"/>
    <w:rsid w:val="00E14823"/>
    <w:rsid w:val="00E15BBE"/>
    <w:rsid w:val="00E229C6"/>
    <w:rsid w:val="00E249F0"/>
    <w:rsid w:val="00E3468E"/>
    <w:rsid w:val="00E465D3"/>
    <w:rsid w:val="00E619AA"/>
    <w:rsid w:val="00E8182A"/>
    <w:rsid w:val="00E87BDC"/>
    <w:rsid w:val="00E967DA"/>
    <w:rsid w:val="00EA0564"/>
    <w:rsid w:val="00EA3529"/>
    <w:rsid w:val="00EB2B3D"/>
    <w:rsid w:val="00EB2DB8"/>
    <w:rsid w:val="00EB6AF0"/>
    <w:rsid w:val="00EC49A9"/>
    <w:rsid w:val="00EC66E4"/>
    <w:rsid w:val="00EC672E"/>
    <w:rsid w:val="00EE394A"/>
    <w:rsid w:val="00EF4805"/>
    <w:rsid w:val="00F00F57"/>
    <w:rsid w:val="00F01A89"/>
    <w:rsid w:val="00F052EE"/>
    <w:rsid w:val="00F22D8B"/>
    <w:rsid w:val="00F24DCA"/>
    <w:rsid w:val="00F35D7A"/>
    <w:rsid w:val="00F45321"/>
    <w:rsid w:val="00F4671A"/>
    <w:rsid w:val="00F46A43"/>
    <w:rsid w:val="00F47E7C"/>
    <w:rsid w:val="00F544A1"/>
    <w:rsid w:val="00F56EE0"/>
    <w:rsid w:val="00F72258"/>
    <w:rsid w:val="00F809F1"/>
    <w:rsid w:val="00F80CE3"/>
    <w:rsid w:val="00F8565D"/>
    <w:rsid w:val="00F92F6B"/>
    <w:rsid w:val="00FB22FF"/>
    <w:rsid w:val="00FB3980"/>
    <w:rsid w:val="00FC7895"/>
    <w:rsid w:val="00FE4347"/>
    <w:rsid w:val="00FE6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A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5">
    <w:name w:val="Akapit z listą5"/>
    <w:basedOn w:val="Normalny"/>
    <w:rsid w:val="00FB3980"/>
    <w:pPr>
      <w:spacing w:after="0" w:line="240" w:lineRule="auto"/>
      <w:ind w:left="720"/>
    </w:pPr>
    <w:rPr>
      <w:rFonts w:ascii="Times New Roman" w:eastAsia="Times New Roman" w:hAnsi="Times New Roman" w:cs="Times New Roman"/>
      <w:sz w:val="24"/>
      <w:szCs w:val="24"/>
      <w:lang w:eastAsia="pl-PL"/>
    </w:rPr>
  </w:style>
  <w:style w:type="paragraph" w:customStyle="1" w:styleId="Akapitzlist51">
    <w:name w:val="Akapit z listą51"/>
    <w:basedOn w:val="Normalny"/>
    <w:rsid w:val="00FB3980"/>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B39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980"/>
    <w:rPr>
      <w:rFonts w:ascii="Tahoma" w:hAnsi="Tahoma" w:cs="Tahoma"/>
      <w:sz w:val="16"/>
      <w:szCs w:val="16"/>
    </w:rPr>
  </w:style>
  <w:style w:type="paragraph" w:styleId="Akapitzlist">
    <w:name w:val="List Paragraph"/>
    <w:basedOn w:val="Normalny"/>
    <w:qFormat/>
    <w:rsid w:val="00344181"/>
    <w:pPr>
      <w:spacing w:after="0" w:line="240" w:lineRule="auto"/>
      <w:ind w:left="720"/>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A811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81109"/>
  </w:style>
  <w:style w:type="paragraph" w:styleId="Stopka">
    <w:name w:val="footer"/>
    <w:basedOn w:val="Normalny"/>
    <w:link w:val="StopkaZnak"/>
    <w:uiPriority w:val="99"/>
    <w:unhideWhenUsed/>
    <w:rsid w:val="00A811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938DF-1046-4BAC-8EE4-71D9E3FD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1405</Words>
  <Characters>8432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Joanna Surowiec</cp:lastModifiedBy>
  <cp:revision>19</cp:revision>
  <cp:lastPrinted>2015-01-12T14:08:00Z</cp:lastPrinted>
  <dcterms:created xsi:type="dcterms:W3CDTF">2015-01-08T09:47:00Z</dcterms:created>
  <dcterms:modified xsi:type="dcterms:W3CDTF">2015-02-16T11:02:00Z</dcterms:modified>
</cp:coreProperties>
</file>