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9" w:type="dxa"/>
        <w:tblInd w:w="108" w:type="dxa"/>
        <w:tblLook w:val="01E0" w:firstRow="1" w:lastRow="1" w:firstColumn="1" w:lastColumn="1" w:noHBand="0" w:noVBand="0"/>
      </w:tblPr>
      <w:tblGrid>
        <w:gridCol w:w="1607"/>
        <w:gridCol w:w="1077"/>
        <w:gridCol w:w="2739"/>
        <w:gridCol w:w="2028"/>
        <w:gridCol w:w="1628"/>
      </w:tblGrid>
      <w:tr w:rsidR="00FB3980" w:rsidTr="005B335E">
        <w:trPr>
          <w:trHeight w:val="1162"/>
        </w:trPr>
        <w:tc>
          <w:tcPr>
            <w:tcW w:w="1607"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b/>
                <w:noProof/>
              </w:rPr>
              <w:drawing>
                <wp:inline distT="0" distB="0" distL="0" distR="0">
                  <wp:extent cx="819150" cy="5778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819150" cy="577850"/>
                          </a:xfrm>
                          <a:prstGeom prst="rect">
                            <a:avLst/>
                          </a:prstGeom>
                          <a:noFill/>
                          <a:ln w="9525">
                            <a:noFill/>
                            <a:miter lim="800000"/>
                            <a:headEnd/>
                            <a:tailEnd/>
                          </a:ln>
                        </pic:spPr>
                      </pic:pic>
                    </a:graphicData>
                  </a:graphic>
                </wp:inline>
              </w:drawing>
            </w:r>
          </w:p>
        </w:tc>
        <w:tc>
          <w:tcPr>
            <w:tcW w:w="1077"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noProof/>
              </w:rPr>
              <w:drawing>
                <wp:inline distT="0" distB="0" distL="0" distR="0">
                  <wp:extent cx="519430" cy="519430"/>
                  <wp:effectExtent l="19050" t="0" r="0" b="0"/>
                  <wp:docPr id="2" name="Obraz 3"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in"/>
                          <pic:cNvPicPr>
                            <a:picLocks noChangeAspect="1" noChangeArrowheads="1"/>
                          </pic:cNvPicPr>
                        </pic:nvPicPr>
                        <pic:blipFill>
                          <a:blip r:embed="rId10" cstate="print"/>
                          <a:srcRect/>
                          <a:stretch>
                            <a:fillRect/>
                          </a:stretch>
                        </pic:blipFill>
                        <pic:spPr bwMode="auto">
                          <a:xfrm>
                            <a:off x="0" y="0"/>
                            <a:ext cx="522274" cy="519379"/>
                          </a:xfrm>
                          <a:prstGeom prst="rect">
                            <a:avLst/>
                          </a:prstGeom>
                          <a:noFill/>
                          <a:ln w="9525">
                            <a:noFill/>
                            <a:miter lim="800000"/>
                            <a:headEnd/>
                            <a:tailEnd/>
                          </a:ln>
                        </pic:spPr>
                      </pic:pic>
                    </a:graphicData>
                  </a:graphic>
                </wp:inline>
              </w:drawing>
            </w:r>
          </w:p>
        </w:tc>
        <w:tc>
          <w:tcPr>
            <w:tcW w:w="2739"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jc w:val="center"/>
              <w:rPr>
                <w:rFonts w:ascii="Sylfaen" w:hAnsi="Sylfaen"/>
              </w:rPr>
            </w:pPr>
            <w:r>
              <w:rPr>
                <w:noProof/>
              </w:rPr>
              <w:drawing>
                <wp:inline distT="0" distB="0" distL="0" distR="0">
                  <wp:extent cx="1579880" cy="592455"/>
                  <wp:effectExtent l="19050" t="0" r="1270" b="0"/>
                  <wp:docPr id="3" name="Obraz 3"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_tekst_transparent"/>
                          <pic:cNvPicPr>
                            <a:picLocks noChangeAspect="1" noChangeArrowheads="1"/>
                          </pic:cNvPicPr>
                        </pic:nvPicPr>
                        <pic:blipFill>
                          <a:blip r:embed="rId11" cstate="print"/>
                          <a:srcRect/>
                          <a:stretch>
                            <a:fillRect/>
                          </a:stretch>
                        </pic:blipFill>
                        <pic:spPr bwMode="auto">
                          <a:xfrm>
                            <a:off x="0" y="0"/>
                            <a:ext cx="1579880" cy="592455"/>
                          </a:xfrm>
                          <a:prstGeom prst="rect">
                            <a:avLst/>
                          </a:prstGeom>
                          <a:noFill/>
                          <a:ln w="9525">
                            <a:noFill/>
                            <a:miter lim="800000"/>
                            <a:headEnd/>
                            <a:tailEnd/>
                          </a:ln>
                        </pic:spPr>
                      </pic:pic>
                    </a:graphicData>
                  </a:graphic>
                </wp:inline>
              </w:drawing>
            </w:r>
          </w:p>
        </w:tc>
        <w:tc>
          <w:tcPr>
            <w:tcW w:w="2028" w:type="dxa"/>
            <w:tcBorders>
              <w:top w:val="single" w:sz="4" w:space="0" w:color="FFFFFF"/>
              <w:left w:val="single" w:sz="4" w:space="0" w:color="FFFFFF"/>
              <w:bottom w:val="single" w:sz="4" w:space="0" w:color="FFFFFF"/>
              <w:right w:val="single" w:sz="4" w:space="0" w:color="FFFFFF"/>
            </w:tcBorders>
            <w:vAlign w:val="center"/>
          </w:tcPr>
          <w:p w:rsidR="00FB3980" w:rsidRPr="002F7344" w:rsidRDefault="00FB3980" w:rsidP="005B335E">
            <w:pPr>
              <w:pStyle w:val="Akapitzlist5"/>
              <w:tabs>
                <w:tab w:val="left" w:pos="1860"/>
              </w:tabs>
              <w:spacing w:line="360" w:lineRule="auto"/>
              <w:ind w:left="0"/>
              <w:rPr>
                <w:rFonts w:ascii="Sylfaen" w:hAnsi="Sylfaen"/>
              </w:rPr>
            </w:pPr>
            <w:r>
              <w:rPr>
                <w:noProof/>
              </w:rPr>
              <w:drawing>
                <wp:anchor distT="0" distB="0" distL="114300" distR="114300" simplePos="0" relativeHeight="251659264" behindDoc="0" locked="0" layoutInCell="1" allowOverlap="1">
                  <wp:simplePos x="0" y="0"/>
                  <wp:positionH relativeFrom="column">
                    <wp:posOffset>1206500</wp:posOffset>
                  </wp:positionH>
                  <wp:positionV relativeFrom="paragraph">
                    <wp:posOffset>-50800</wp:posOffset>
                  </wp:positionV>
                  <wp:extent cx="960755" cy="538480"/>
                  <wp:effectExtent l="19050" t="0" r="0" b="0"/>
                  <wp:wrapNone/>
                  <wp:docPr id="5"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12" cstate="print"/>
                          <a:srcRect/>
                          <a:stretch>
                            <a:fillRect/>
                          </a:stretch>
                        </pic:blipFill>
                        <pic:spPr bwMode="auto">
                          <a:xfrm>
                            <a:off x="0" y="0"/>
                            <a:ext cx="960755" cy="538480"/>
                          </a:xfrm>
                          <a:prstGeom prst="rect">
                            <a:avLst/>
                          </a:prstGeom>
                          <a:noFill/>
                          <a:ln w="9525">
                            <a:noFill/>
                            <a:miter lim="800000"/>
                            <a:headEnd/>
                            <a:tailEnd/>
                          </a:ln>
                        </pic:spPr>
                      </pic:pic>
                    </a:graphicData>
                  </a:graphic>
                </wp:anchor>
              </w:drawing>
            </w:r>
            <w:r>
              <w:rPr>
                <w:noProof/>
              </w:rPr>
              <w:drawing>
                <wp:inline distT="0" distB="0" distL="0" distR="0">
                  <wp:extent cx="980440" cy="49022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srcRect/>
                          <a:stretch>
                            <a:fillRect/>
                          </a:stretch>
                        </pic:blipFill>
                        <pic:spPr bwMode="auto">
                          <a:xfrm>
                            <a:off x="0" y="0"/>
                            <a:ext cx="980440" cy="490220"/>
                          </a:xfrm>
                          <a:prstGeom prst="rect">
                            <a:avLst/>
                          </a:prstGeom>
                          <a:noFill/>
                          <a:ln w="9525">
                            <a:noFill/>
                            <a:miter lim="800000"/>
                            <a:headEnd/>
                            <a:tailEnd/>
                          </a:ln>
                        </pic:spPr>
                      </pic:pic>
                    </a:graphicData>
                  </a:graphic>
                </wp:inline>
              </w:drawing>
            </w:r>
          </w:p>
        </w:tc>
        <w:tc>
          <w:tcPr>
            <w:tcW w:w="1628" w:type="dxa"/>
            <w:tcBorders>
              <w:top w:val="single" w:sz="4" w:space="0" w:color="FFFFFF"/>
              <w:left w:val="single" w:sz="4" w:space="0" w:color="FFFFFF"/>
              <w:bottom w:val="single" w:sz="4" w:space="0" w:color="FFFFFF"/>
              <w:right w:val="single" w:sz="4" w:space="0" w:color="FFFFFF"/>
            </w:tcBorders>
            <w:vAlign w:val="center"/>
          </w:tcPr>
          <w:p w:rsidR="00FB3980" w:rsidRPr="005F4C9B" w:rsidRDefault="00FB3980" w:rsidP="005B335E">
            <w:pPr>
              <w:pStyle w:val="Akapitzlist5"/>
              <w:tabs>
                <w:tab w:val="left" w:pos="1860"/>
              </w:tabs>
              <w:spacing w:line="360" w:lineRule="auto"/>
              <w:ind w:left="0"/>
              <w:jc w:val="center"/>
              <w:rPr>
                <w:rFonts w:ascii="Sylfaen" w:hAnsi="Sylfaen"/>
                <w:sz w:val="16"/>
                <w:szCs w:val="16"/>
              </w:rPr>
            </w:pPr>
          </w:p>
        </w:tc>
      </w:tr>
    </w:tbl>
    <w:p w:rsidR="00FB3980" w:rsidRPr="00FB3980" w:rsidRDefault="00FB3980" w:rsidP="00FB3980">
      <w:pPr>
        <w:pStyle w:val="Akapitzlist51"/>
        <w:tabs>
          <w:tab w:val="left" w:pos="1860"/>
        </w:tabs>
        <w:spacing w:line="216" w:lineRule="auto"/>
        <w:ind w:left="-113" w:right="-113"/>
        <w:contextualSpacing w:val="0"/>
        <w:jc w:val="center"/>
      </w:pPr>
      <w:r w:rsidRPr="00FB3980">
        <w:t>„Europejski Fundusz Rolny na rzecz Rozwoju Obszarów Wiejskich: Europa inwestująca w obszary wiejskie.”</w:t>
      </w:r>
    </w:p>
    <w:p w:rsidR="00FB3980" w:rsidRPr="00FB3980" w:rsidRDefault="00FB3980" w:rsidP="00FB3980">
      <w:pPr>
        <w:pStyle w:val="Akapitzlist51"/>
        <w:tabs>
          <w:tab w:val="left" w:pos="1860"/>
        </w:tabs>
        <w:spacing w:line="216" w:lineRule="auto"/>
        <w:ind w:left="-113" w:right="-113"/>
        <w:contextualSpacing w:val="0"/>
        <w:jc w:val="center"/>
      </w:pPr>
      <w:r w:rsidRPr="00FB3980">
        <w:t>Projekt opracowany przez Ministerstwo Rolnictwa i Rozwoju Wsi</w:t>
      </w:r>
    </w:p>
    <w:p w:rsidR="00FB3980" w:rsidRPr="00FB3980" w:rsidRDefault="00FB3980" w:rsidP="00FB3980">
      <w:pPr>
        <w:pStyle w:val="Akapitzlist51"/>
        <w:tabs>
          <w:tab w:val="left" w:pos="1860"/>
        </w:tabs>
        <w:spacing w:line="216" w:lineRule="auto"/>
        <w:ind w:left="-113" w:right="-113"/>
        <w:contextualSpacing w:val="0"/>
        <w:jc w:val="center"/>
      </w:pPr>
      <w:r w:rsidRPr="00FB3980">
        <w:t xml:space="preserve">Projekt współfinansowany ze środków Unii Europejskiej w ramach Pomocy Technicznej </w:t>
      </w:r>
    </w:p>
    <w:p w:rsidR="00FB3980" w:rsidRPr="00FB3980" w:rsidRDefault="00FB3980" w:rsidP="00FB3980">
      <w:pPr>
        <w:pStyle w:val="Akapitzlist51"/>
        <w:tabs>
          <w:tab w:val="left" w:pos="1860"/>
        </w:tabs>
        <w:spacing w:line="216" w:lineRule="auto"/>
        <w:ind w:left="-113" w:right="-113"/>
        <w:contextualSpacing w:val="0"/>
        <w:jc w:val="center"/>
      </w:pPr>
      <w:r w:rsidRPr="00FB3980">
        <w:t>Programu Rozwoju Obszarów Wiejskich na lata 2007-2013</w:t>
      </w:r>
    </w:p>
    <w:p w:rsidR="00FB3980" w:rsidRPr="00FB3980" w:rsidRDefault="00FB3980" w:rsidP="00FB3980">
      <w:pPr>
        <w:spacing w:line="216" w:lineRule="auto"/>
        <w:ind w:left="-170" w:right="-170"/>
        <w:jc w:val="center"/>
        <w:rPr>
          <w:rFonts w:ascii="Times New Roman" w:hAnsi="Times New Roman" w:cs="Times New Roman"/>
          <w:spacing w:val="-4"/>
          <w:sz w:val="20"/>
          <w:szCs w:val="20"/>
        </w:rPr>
      </w:pPr>
      <w:r w:rsidRPr="00FB3980">
        <w:rPr>
          <w:rFonts w:ascii="Times New Roman" w:hAnsi="Times New Roman" w:cs="Times New Roman"/>
          <w:spacing w:val="-4"/>
          <w:sz w:val="20"/>
          <w:szCs w:val="20"/>
        </w:rPr>
        <w:t xml:space="preserve">Instytucja Zarządzająca Programem Rozwoju Obszarów Wiejskich na lata 2007-2013 </w:t>
      </w:r>
      <w:r>
        <w:rPr>
          <w:rFonts w:ascii="Times New Roman" w:hAnsi="Times New Roman" w:cs="Times New Roman"/>
          <w:spacing w:val="-4"/>
          <w:sz w:val="20"/>
          <w:szCs w:val="20"/>
        </w:rPr>
        <w:t>–</w:t>
      </w:r>
      <w:r w:rsidRPr="00FB3980">
        <w:rPr>
          <w:rFonts w:ascii="Times New Roman" w:hAnsi="Times New Roman" w:cs="Times New Roman"/>
          <w:spacing w:val="-4"/>
          <w:sz w:val="20"/>
          <w:szCs w:val="20"/>
        </w:rPr>
        <w:t xml:space="preserve"> Minister Rolnictwa i Rozwoju Wsi</w:t>
      </w:r>
    </w:p>
    <w:p w:rsidR="003D4D97" w:rsidRDefault="003D4D97" w:rsidP="00FB3980">
      <w:pPr>
        <w:spacing w:after="240" w:line="240" w:lineRule="auto"/>
        <w:jc w:val="center"/>
        <w:rPr>
          <w:rFonts w:ascii="Times New Roman" w:hAnsi="Times New Roman" w:cs="Times New Roman"/>
          <w:b/>
          <w:sz w:val="32"/>
          <w:szCs w:val="32"/>
        </w:rPr>
      </w:pPr>
    </w:p>
    <w:p w:rsidR="003D4D97" w:rsidRDefault="003D4D97" w:rsidP="00FB3980">
      <w:pPr>
        <w:spacing w:after="240" w:line="240" w:lineRule="auto"/>
        <w:jc w:val="center"/>
        <w:rPr>
          <w:rFonts w:ascii="Times New Roman" w:hAnsi="Times New Roman" w:cs="Times New Roman"/>
          <w:b/>
          <w:sz w:val="32"/>
          <w:szCs w:val="32"/>
        </w:rPr>
      </w:pPr>
    </w:p>
    <w:p w:rsidR="00FB3980" w:rsidRDefault="00FB3980" w:rsidP="00FB3980">
      <w:pPr>
        <w:spacing w:after="240" w:line="240" w:lineRule="auto"/>
        <w:jc w:val="center"/>
        <w:rPr>
          <w:rFonts w:ascii="Times New Roman" w:hAnsi="Times New Roman" w:cs="Times New Roman"/>
          <w:b/>
          <w:sz w:val="32"/>
          <w:szCs w:val="32"/>
        </w:rPr>
      </w:pPr>
      <w:r w:rsidRPr="00FB3980">
        <w:rPr>
          <w:rFonts w:ascii="Times New Roman" w:hAnsi="Times New Roman" w:cs="Times New Roman"/>
          <w:b/>
          <w:sz w:val="32"/>
          <w:szCs w:val="32"/>
        </w:rPr>
        <w:t xml:space="preserve">Cykl szkoleń z zakresu tworzenia lokalnych strategii rozwoju (LSR), przygotowania strategii komunikacyjnej lokalnej grupy działania (LGD) i angażowania społeczności lokalnych </w:t>
      </w:r>
      <w:r w:rsidRPr="00FB3980">
        <w:rPr>
          <w:rFonts w:ascii="Times New Roman" w:hAnsi="Times New Roman" w:cs="Times New Roman"/>
          <w:b/>
          <w:sz w:val="32"/>
          <w:szCs w:val="32"/>
        </w:rPr>
        <w:br/>
        <w:t>w przygotowanie i realizację LSR</w:t>
      </w:r>
    </w:p>
    <w:p w:rsidR="00344181" w:rsidRPr="00FB3980" w:rsidRDefault="00344181" w:rsidP="00FB3980">
      <w:pPr>
        <w:spacing w:after="240" w:line="240" w:lineRule="auto"/>
        <w:jc w:val="center"/>
        <w:rPr>
          <w:rFonts w:ascii="Times New Roman" w:hAnsi="Times New Roman" w:cs="Times New Roman"/>
          <w:b/>
          <w:sz w:val="32"/>
          <w:szCs w:val="32"/>
        </w:rPr>
      </w:pPr>
    </w:p>
    <w:p w:rsidR="00704D9A" w:rsidRPr="00704D9A" w:rsidRDefault="00CF2937" w:rsidP="00704D9A">
      <w:pPr>
        <w:jc w:val="center"/>
        <w:rPr>
          <w:rFonts w:ascii="Times New Roman" w:hAnsi="Times New Roman" w:cs="Times New Roman"/>
          <w:sz w:val="24"/>
          <w:szCs w:val="24"/>
        </w:rPr>
      </w:pPr>
      <w:r>
        <w:rPr>
          <w:rFonts w:ascii="Times New Roman" w:hAnsi="Times New Roman" w:cs="Times New Roman"/>
          <w:sz w:val="24"/>
          <w:szCs w:val="24"/>
        </w:rPr>
        <w:t>Relacja</w:t>
      </w:r>
      <w:r w:rsidR="00FB3980" w:rsidRPr="00344181">
        <w:rPr>
          <w:rFonts w:ascii="Times New Roman" w:hAnsi="Times New Roman" w:cs="Times New Roman"/>
          <w:sz w:val="24"/>
          <w:szCs w:val="24"/>
        </w:rPr>
        <w:t xml:space="preserve"> z realizacji szkoleń w ramach modułu I</w:t>
      </w:r>
      <w:r w:rsidR="00704D9A">
        <w:rPr>
          <w:rFonts w:ascii="Times New Roman" w:hAnsi="Times New Roman" w:cs="Times New Roman"/>
          <w:sz w:val="24"/>
          <w:szCs w:val="24"/>
        </w:rPr>
        <w:t>I</w:t>
      </w:r>
      <w:r w:rsidR="00FB3980" w:rsidRPr="00344181">
        <w:rPr>
          <w:rFonts w:ascii="Times New Roman" w:hAnsi="Times New Roman" w:cs="Times New Roman"/>
          <w:sz w:val="24"/>
          <w:szCs w:val="24"/>
        </w:rPr>
        <w:t xml:space="preserve"> </w:t>
      </w:r>
      <w:r w:rsidR="00704D9A">
        <w:rPr>
          <w:rFonts w:ascii="Times New Roman" w:hAnsi="Times New Roman" w:cs="Times New Roman"/>
          <w:sz w:val="24"/>
          <w:szCs w:val="24"/>
        </w:rPr>
        <w:t>–</w:t>
      </w:r>
      <w:r w:rsidR="00FB3980" w:rsidRPr="00344181">
        <w:rPr>
          <w:rFonts w:ascii="Times New Roman" w:hAnsi="Times New Roman" w:cs="Times New Roman"/>
          <w:sz w:val="24"/>
          <w:szCs w:val="24"/>
        </w:rPr>
        <w:t xml:space="preserve"> </w:t>
      </w:r>
      <w:r w:rsidR="00704D9A" w:rsidRPr="00704D9A">
        <w:rPr>
          <w:rFonts w:ascii="Times New Roman" w:hAnsi="Times New Roman" w:cs="Times New Roman"/>
          <w:sz w:val="24"/>
          <w:szCs w:val="24"/>
        </w:rPr>
        <w:t xml:space="preserve">Określanie celów LSR </w:t>
      </w:r>
      <w:r w:rsidR="00704D9A">
        <w:rPr>
          <w:rFonts w:ascii="Times New Roman" w:hAnsi="Times New Roman" w:cs="Times New Roman"/>
          <w:sz w:val="24"/>
          <w:szCs w:val="24"/>
        </w:rPr>
        <w:br/>
      </w:r>
      <w:r w:rsidR="00704D9A" w:rsidRPr="00704D9A">
        <w:rPr>
          <w:rFonts w:ascii="Times New Roman" w:hAnsi="Times New Roman" w:cs="Times New Roman"/>
          <w:sz w:val="24"/>
          <w:szCs w:val="24"/>
        </w:rPr>
        <w:t>i wskaźników realizacji strategii</w:t>
      </w:r>
    </w:p>
    <w:p w:rsidR="00704D9A" w:rsidRDefault="00704D9A" w:rsidP="003C2358">
      <w:pPr>
        <w:spacing w:after="120" w:line="312" w:lineRule="auto"/>
        <w:jc w:val="both"/>
        <w:rPr>
          <w:rFonts w:ascii="Times New Roman" w:hAnsi="Times New Roman" w:cs="Times New Roman"/>
          <w:sz w:val="24"/>
          <w:szCs w:val="24"/>
        </w:rPr>
      </w:pPr>
    </w:p>
    <w:p w:rsidR="005E5216" w:rsidRPr="00BE6E2B" w:rsidRDefault="005E5216" w:rsidP="00D94E51">
      <w:pPr>
        <w:jc w:val="center"/>
        <w:rPr>
          <w:rFonts w:ascii="Times New Roman" w:hAnsi="Times New Roman" w:cs="Times New Roman"/>
          <w:b/>
          <w:i/>
          <w:sz w:val="24"/>
          <w:szCs w:val="24"/>
        </w:rPr>
      </w:pPr>
      <w:r w:rsidRPr="00BE6E2B">
        <w:rPr>
          <w:rFonts w:ascii="Times New Roman" w:hAnsi="Times New Roman" w:cs="Times New Roman"/>
          <w:b/>
          <w:i/>
          <w:sz w:val="24"/>
          <w:szCs w:val="24"/>
        </w:rPr>
        <w:t>Opracowanie: Centrum Doradztwa Rolnicz</w:t>
      </w:r>
      <w:bookmarkStart w:id="0" w:name="_GoBack"/>
      <w:bookmarkEnd w:id="0"/>
      <w:r w:rsidRPr="00BE6E2B">
        <w:rPr>
          <w:rFonts w:ascii="Times New Roman" w:hAnsi="Times New Roman" w:cs="Times New Roman"/>
          <w:b/>
          <w:i/>
          <w:sz w:val="24"/>
          <w:szCs w:val="24"/>
        </w:rPr>
        <w:t>ego Brwinów Oddział w Krakowie</w:t>
      </w:r>
    </w:p>
    <w:p w:rsidR="005E5216" w:rsidRDefault="005E5216" w:rsidP="003C2358">
      <w:pPr>
        <w:spacing w:after="120" w:line="312" w:lineRule="auto"/>
        <w:jc w:val="both"/>
        <w:rPr>
          <w:rFonts w:ascii="Times New Roman" w:hAnsi="Times New Roman" w:cs="Times New Roman"/>
          <w:sz w:val="24"/>
          <w:szCs w:val="24"/>
        </w:rPr>
      </w:pPr>
    </w:p>
    <w:p w:rsidR="00704D9A" w:rsidRDefault="00704D9A" w:rsidP="003C2358">
      <w:pPr>
        <w:spacing w:after="120" w:line="312" w:lineRule="auto"/>
        <w:jc w:val="both"/>
        <w:rPr>
          <w:rFonts w:ascii="Times New Roman" w:hAnsi="Times New Roman" w:cs="Times New Roman"/>
          <w:sz w:val="24"/>
          <w:szCs w:val="24"/>
        </w:rPr>
      </w:pPr>
    </w:p>
    <w:p w:rsidR="009B00C1" w:rsidRPr="009B00C1" w:rsidRDefault="002C573A" w:rsidP="009B00C1">
      <w:pPr>
        <w:spacing w:after="120" w:line="312" w:lineRule="auto"/>
        <w:jc w:val="both"/>
        <w:rPr>
          <w:rFonts w:ascii="Times New Roman" w:hAnsi="Times New Roman" w:cs="Times New Roman"/>
          <w:sz w:val="24"/>
          <w:szCs w:val="24"/>
        </w:rPr>
      </w:pPr>
      <w:r w:rsidRPr="009B00C1">
        <w:rPr>
          <w:rFonts w:ascii="Times New Roman" w:hAnsi="Times New Roman" w:cs="Times New Roman"/>
          <w:sz w:val="24"/>
          <w:szCs w:val="24"/>
        </w:rPr>
        <w:t>Jak zapisać cel aby sam zapis stanowił opis stanu po zmianie? Czym się różnią problemy od zidentyfikowanych negatywnych zjawisk na obszarze? Czy warto przywiązywać aż tak dużą wagę do treści i samych sformułowań celów</w:t>
      </w:r>
      <w:r w:rsidR="00982FF5" w:rsidRPr="009B00C1">
        <w:rPr>
          <w:rFonts w:ascii="Times New Roman" w:hAnsi="Times New Roman" w:cs="Times New Roman"/>
          <w:sz w:val="24"/>
          <w:szCs w:val="24"/>
        </w:rPr>
        <w:t xml:space="preserve">? Jaki wpływ mogą mieć mieszkańcy obszaru na formułowanie celów i wyznaczanie wskaźników? </w:t>
      </w:r>
      <w:r w:rsidRPr="009B00C1">
        <w:rPr>
          <w:rFonts w:ascii="Times New Roman" w:hAnsi="Times New Roman" w:cs="Times New Roman"/>
          <w:sz w:val="24"/>
          <w:szCs w:val="24"/>
        </w:rPr>
        <w:t xml:space="preserve">Te i wiele innych pytań stanowiło punkt wyjścia do dyskusji uczestników szkoleń z trenerami i między sobą. </w:t>
      </w:r>
      <w:r w:rsidR="00942712" w:rsidRPr="009B00C1">
        <w:rPr>
          <w:rFonts w:ascii="Times New Roman" w:hAnsi="Times New Roman" w:cs="Times New Roman"/>
          <w:sz w:val="24"/>
          <w:szCs w:val="24"/>
        </w:rPr>
        <w:t xml:space="preserve">Na wiele pytań, przynajmniej w sensie teoretycznym odpowiedzi zostały udzielone w trakcie wykładów wspieranych </w:t>
      </w:r>
      <w:r w:rsidR="00CC44A1" w:rsidRPr="009B00C1">
        <w:rPr>
          <w:rFonts w:ascii="Times New Roman" w:hAnsi="Times New Roman" w:cs="Times New Roman"/>
          <w:sz w:val="24"/>
          <w:szCs w:val="24"/>
        </w:rPr>
        <w:t xml:space="preserve">prezentacjami multimedialnymi i </w:t>
      </w:r>
      <w:r w:rsidR="00942712" w:rsidRPr="009B00C1">
        <w:rPr>
          <w:rFonts w:ascii="Times New Roman" w:hAnsi="Times New Roman" w:cs="Times New Roman"/>
          <w:sz w:val="24"/>
          <w:szCs w:val="24"/>
        </w:rPr>
        <w:t>mapami mentalnymi</w:t>
      </w:r>
      <w:r w:rsidR="00CC44A1" w:rsidRPr="009B00C1">
        <w:rPr>
          <w:rFonts w:ascii="Times New Roman" w:hAnsi="Times New Roman" w:cs="Times New Roman"/>
          <w:sz w:val="24"/>
          <w:szCs w:val="24"/>
        </w:rPr>
        <w:t xml:space="preserve">. </w:t>
      </w:r>
      <w:r w:rsidR="009B00C1" w:rsidRPr="009B00C1">
        <w:rPr>
          <w:rFonts w:ascii="Times New Roman" w:hAnsi="Times New Roman" w:cs="Times New Roman"/>
          <w:sz w:val="24"/>
          <w:szCs w:val="24"/>
        </w:rPr>
        <w:t>Potwierdziła się opinia trenerów, że b</w:t>
      </w:r>
      <w:r w:rsidR="00833DED" w:rsidRPr="009B00C1">
        <w:rPr>
          <w:rFonts w:ascii="Times New Roman" w:hAnsi="Times New Roman" w:cs="Times New Roman"/>
          <w:sz w:val="24"/>
          <w:szCs w:val="24"/>
        </w:rPr>
        <w:t>udowa strategii nie oznacza jej pisani</w:t>
      </w:r>
      <w:r w:rsidR="00056D32" w:rsidRPr="009B00C1">
        <w:rPr>
          <w:rFonts w:ascii="Times New Roman" w:hAnsi="Times New Roman" w:cs="Times New Roman"/>
          <w:sz w:val="24"/>
          <w:szCs w:val="24"/>
        </w:rPr>
        <w:t>a</w:t>
      </w:r>
      <w:r w:rsidR="00833DED" w:rsidRPr="009B00C1">
        <w:rPr>
          <w:rFonts w:ascii="Times New Roman" w:hAnsi="Times New Roman" w:cs="Times New Roman"/>
          <w:sz w:val="24"/>
          <w:szCs w:val="24"/>
        </w:rPr>
        <w:t xml:space="preserve"> czy nawet opracowani</w:t>
      </w:r>
      <w:r w:rsidR="00056D32" w:rsidRPr="009B00C1">
        <w:rPr>
          <w:rFonts w:ascii="Times New Roman" w:hAnsi="Times New Roman" w:cs="Times New Roman"/>
          <w:sz w:val="24"/>
          <w:szCs w:val="24"/>
        </w:rPr>
        <w:t>a</w:t>
      </w:r>
      <w:r w:rsidR="009B00C1" w:rsidRPr="009B00C1">
        <w:rPr>
          <w:rFonts w:ascii="Times New Roman" w:hAnsi="Times New Roman" w:cs="Times New Roman"/>
          <w:sz w:val="24"/>
          <w:szCs w:val="24"/>
        </w:rPr>
        <w:t>, że to proces twórczy przebiegający według zasady im więcej mieszkańców w nim uczestniczy, tym zarządzanie procesem jest trudniejsze ale prowadzi do zbudowania lepszej strategii. lepszej czyli takiej w realizacje której zaangażuje się również wielu uczestników jej budowy i stanie się dokumentem możliwym do zrealizowania.</w:t>
      </w:r>
    </w:p>
    <w:p w:rsidR="00530C75" w:rsidRPr="00530C75" w:rsidRDefault="00530C75" w:rsidP="003C2358">
      <w:pPr>
        <w:spacing w:after="120" w:line="312" w:lineRule="auto"/>
        <w:jc w:val="both"/>
        <w:rPr>
          <w:rFonts w:ascii="Times New Roman" w:hAnsi="Times New Roman" w:cs="Times New Roman"/>
          <w:sz w:val="24"/>
          <w:szCs w:val="24"/>
        </w:rPr>
      </w:pPr>
      <w:r w:rsidRPr="00530C75">
        <w:rPr>
          <w:rFonts w:ascii="Times New Roman" w:hAnsi="Times New Roman" w:cs="Times New Roman"/>
          <w:sz w:val="24"/>
          <w:szCs w:val="24"/>
        </w:rPr>
        <w:t xml:space="preserve">Tworzenie drzewa problemów a następnie przekształcanie w strukturę celów jest procesem twórczym, ale mocno osadzonym w praktyce. To właśnie fakt, że uczestnicy szkoleń byli </w:t>
      </w:r>
      <w:r w:rsidRPr="00530C75">
        <w:rPr>
          <w:rFonts w:ascii="Times New Roman" w:hAnsi="Times New Roman" w:cs="Times New Roman"/>
          <w:sz w:val="24"/>
          <w:szCs w:val="24"/>
        </w:rPr>
        <w:lastRenderedPageBreak/>
        <w:t>„praktykami” z dużym doświadczeniem w realizacji podejścia LEADER</w:t>
      </w:r>
      <w:r>
        <w:rPr>
          <w:rFonts w:ascii="Times New Roman" w:hAnsi="Times New Roman" w:cs="Times New Roman"/>
          <w:sz w:val="24"/>
          <w:szCs w:val="24"/>
        </w:rPr>
        <w:t>,</w:t>
      </w:r>
      <w:r w:rsidRPr="00530C75">
        <w:rPr>
          <w:rFonts w:ascii="Times New Roman" w:hAnsi="Times New Roman" w:cs="Times New Roman"/>
          <w:sz w:val="24"/>
          <w:szCs w:val="24"/>
        </w:rPr>
        <w:t xml:space="preserve"> wpływał na powstawanie „odruchowych” reakcji uczestników odwołujących się do tego doświadczenia </w:t>
      </w:r>
      <w:r>
        <w:rPr>
          <w:rFonts w:ascii="Times New Roman" w:hAnsi="Times New Roman" w:cs="Times New Roman"/>
          <w:sz w:val="24"/>
          <w:szCs w:val="24"/>
        </w:rPr>
        <w:br/>
      </w:r>
      <w:r w:rsidRPr="00530C75">
        <w:rPr>
          <w:rFonts w:ascii="Times New Roman" w:hAnsi="Times New Roman" w:cs="Times New Roman"/>
          <w:sz w:val="24"/>
          <w:szCs w:val="24"/>
        </w:rPr>
        <w:t>i w jego kontekście weryfikowaniu twórczego procesy jaki przebiegał w zespołach.</w:t>
      </w:r>
      <w:r>
        <w:rPr>
          <w:rFonts w:ascii="Times New Roman" w:hAnsi="Times New Roman" w:cs="Times New Roman"/>
          <w:sz w:val="24"/>
          <w:szCs w:val="24"/>
        </w:rPr>
        <w:t xml:space="preserve"> Można było zaobserwować zjawisko z jednej strony rozbudzonej wyobraźni, a z drugiej strony bardzo praktycznego podejścia do tworzenia drzewa problemów i struktury celów. Kompromis zawierał się, najczęściej w tym, że uznawano przebieg pracy warsztatowej jako proces edukacyjny, którego rezultaty zostaną spożytkowane w trakcie budowy strategii.</w:t>
      </w:r>
    </w:p>
    <w:p w:rsidR="007528BA" w:rsidRDefault="00FB3980" w:rsidP="003C2358">
      <w:pPr>
        <w:spacing w:after="120" w:line="312" w:lineRule="auto"/>
        <w:jc w:val="both"/>
        <w:rPr>
          <w:rFonts w:ascii="Times New Roman" w:hAnsi="Times New Roman" w:cs="Times New Roman"/>
          <w:sz w:val="24"/>
          <w:szCs w:val="24"/>
        </w:rPr>
      </w:pPr>
      <w:r w:rsidRPr="00704D9A">
        <w:rPr>
          <w:rFonts w:ascii="Times New Roman" w:hAnsi="Times New Roman" w:cs="Times New Roman"/>
          <w:sz w:val="24"/>
          <w:szCs w:val="24"/>
        </w:rPr>
        <w:t xml:space="preserve">Prowadzone szkolenia dla przedstawicieli Lokalnych Grup Działania w ramach modułu </w:t>
      </w:r>
      <w:r w:rsidR="007528BA" w:rsidRPr="00704D9A">
        <w:rPr>
          <w:rFonts w:ascii="Times New Roman" w:hAnsi="Times New Roman" w:cs="Times New Roman"/>
          <w:sz w:val="24"/>
          <w:szCs w:val="24"/>
        </w:rPr>
        <w:br/>
      </w:r>
      <w:r w:rsidRPr="00704D9A">
        <w:rPr>
          <w:rFonts w:ascii="Times New Roman" w:hAnsi="Times New Roman" w:cs="Times New Roman"/>
          <w:sz w:val="24"/>
          <w:szCs w:val="24"/>
        </w:rPr>
        <w:t>I</w:t>
      </w:r>
      <w:r w:rsidR="00704D9A" w:rsidRPr="00704D9A">
        <w:rPr>
          <w:rFonts w:ascii="Times New Roman" w:hAnsi="Times New Roman" w:cs="Times New Roman"/>
          <w:sz w:val="24"/>
          <w:szCs w:val="24"/>
        </w:rPr>
        <w:t>I</w:t>
      </w:r>
      <w:r w:rsidRPr="00704D9A">
        <w:rPr>
          <w:rFonts w:ascii="Times New Roman" w:hAnsi="Times New Roman" w:cs="Times New Roman"/>
          <w:sz w:val="24"/>
          <w:szCs w:val="24"/>
        </w:rPr>
        <w:t xml:space="preserve"> </w:t>
      </w:r>
      <w:r w:rsidR="007528BA" w:rsidRPr="00704D9A">
        <w:rPr>
          <w:rFonts w:ascii="Times New Roman" w:hAnsi="Times New Roman" w:cs="Times New Roman"/>
          <w:sz w:val="24"/>
          <w:szCs w:val="24"/>
        </w:rPr>
        <w:t>–</w:t>
      </w:r>
      <w:r w:rsidRPr="00704D9A">
        <w:rPr>
          <w:rFonts w:ascii="Times New Roman" w:hAnsi="Times New Roman" w:cs="Times New Roman"/>
          <w:sz w:val="24"/>
          <w:szCs w:val="24"/>
        </w:rPr>
        <w:t xml:space="preserve"> </w:t>
      </w:r>
      <w:r w:rsidR="00704D9A" w:rsidRPr="00704D9A">
        <w:rPr>
          <w:rFonts w:ascii="Times New Roman" w:hAnsi="Times New Roman" w:cs="Times New Roman"/>
          <w:sz w:val="24"/>
          <w:szCs w:val="24"/>
        </w:rPr>
        <w:t>Określanie celów LSR i wskaźników realizacji strategii,</w:t>
      </w:r>
      <w:r w:rsidR="007528BA" w:rsidRPr="00704D9A">
        <w:rPr>
          <w:rFonts w:ascii="Times New Roman" w:hAnsi="Times New Roman" w:cs="Times New Roman"/>
          <w:sz w:val="24"/>
          <w:szCs w:val="24"/>
        </w:rPr>
        <w:t xml:space="preserve"> miały na celu wsparcie LGD </w:t>
      </w:r>
      <w:r w:rsidR="009B00C1">
        <w:rPr>
          <w:rFonts w:ascii="Times New Roman" w:hAnsi="Times New Roman" w:cs="Times New Roman"/>
          <w:sz w:val="24"/>
          <w:szCs w:val="24"/>
        </w:rPr>
        <w:br/>
      </w:r>
      <w:r w:rsidR="007528BA" w:rsidRPr="00704D9A">
        <w:rPr>
          <w:rFonts w:ascii="Times New Roman" w:hAnsi="Times New Roman" w:cs="Times New Roman"/>
          <w:sz w:val="24"/>
          <w:szCs w:val="24"/>
        </w:rPr>
        <w:t>w przygotowaniu nowych, lepszych jakościowo LSR, opartych na podstawowych element</w:t>
      </w:r>
      <w:r w:rsidR="009B00C1">
        <w:rPr>
          <w:rFonts w:ascii="Times New Roman" w:hAnsi="Times New Roman" w:cs="Times New Roman"/>
          <w:sz w:val="24"/>
          <w:szCs w:val="24"/>
        </w:rPr>
        <w:t>ach oddolnego podejścia LEADER. Na etapie określania celów i wskaźników „oddolność” odgrywa istotną rolę pod warunkiem, że jest właściwie rozumiana nie tylko przez samo partnerstwo ale również instytucj</w:t>
      </w:r>
      <w:r w:rsidR="00BC3421">
        <w:rPr>
          <w:rFonts w:ascii="Times New Roman" w:hAnsi="Times New Roman" w:cs="Times New Roman"/>
          <w:sz w:val="24"/>
          <w:szCs w:val="24"/>
        </w:rPr>
        <w:t>ę</w:t>
      </w:r>
      <w:r w:rsidR="009B00C1">
        <w:rPr>
          <w:rFonts w:ascii="Times New Roman" w:hAnsi="Times New Roman" w:cs="Times New Roman"/>
          <w:sz w:val="24"/>
          <w:szCs w:val="24"/>
        </w:rPr>
        <w:t xml:space="preserve"> wdrażającą i płatnicz</w:t>
      </w:r>
      <w:r w:rsidR="00FC088A">
        <w:rPr>
          <w:rFonts w:ascii="Times New Roman" w:hAnsi="Times New Roman" w:cs="Times New Roman"/>
          <w:sz w:val="24"/>
          <w:szCs w:val="24"/>
        </w:rPr>
        <w:t xml:space="preserve">ą, a także od stopnia w jakim instytucja zarządzająca może wpływać na całą strukturę wdrażania. </w:t>
      </w:r>
    </w:p>
    <w:p w:rsidR="00FC088A" w:rsidRPr="00704D9A" w:rsidRDefault="00FC088A"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Uczestnicy szkoleń w trakcie zajęć warsztatowych kilkakrotnie zwracali uwagę na fakt, że inne jest rozumienie idei oddolności wśród elity obszaru, a inne wśród pracowników instytucji wdrażających. Różnica głównie dotyczy tego „ile oddolności” można „pomieścić” w systemie prawno-biurokratycznym regulującym wdrażanie podejścia LEADER.</w:t>
      </w:r>
    </w:p>
    <w:p w:rsidR="003D4D97" w:rsidRPr="00704D9A" w:rsidRDefault="00A81109" w:rsidP="003C2358">
      <w:pPr>
        <w:spacing w:after="120" w:line="312" w:lineRule="auto"/>
        <w:jc w:val="both"/>
        <w:rPr>
          <w:rFonts w:ascii="Times New Roman" w:hAnsi="Times New Roman" w:cs="Times New Roman"/>
          <w:sz w:val="24"/>
          <w:szCs w:val="24"/>
          <w:highlight w:val="yellow"/>
        </w:rPr>
      </w:pPr>
      <w:r w:rsidRPr="00704D9A">
        <w:rPr>
          <w:rFonts w:ascii="Times New Roman" w:hAnsi="Times New Roman" w:cs="Times New Roman"/>
          <w:sz w:val="24"/>
          <w:szCs w:val="24"/>
        </w:rPr>
        <w:t xml:space="preserve">Obserwacja uczestników szkoleń przez trenerów, a także dobre wyniki testów (wszyscy zliczyli testy) prowadzi do wniosku, że założone cele zostały w pełni osiągnięte. Należy </w:t>
      </w:r>
      <w:r w:rsidR="00381E79" w:rsidRPr="00704D9A">
        <w:rPr>
          <w:rFonts w:ascii="Times New Roman" w:hAnsi="Times New Roman" w:cs="Times New Roman"/>
          <w:sz w:val="24"/>
          <w:szCs w:val="24"/>
        </w:rPr>
        <w:br/>
      </w:r>
      <w:r w:rsidRPr="00704D9A">
        <w:rPr>
          <w:rFonts w:ascii="Times New Roman" w:hAnsi="Times New Roman" w:cs="Times New Roman"/>
          <w:sz w:val="24"/>
          <w:szCs w:val="24"/>
        </w:rPr>
        <w:t xml:space="preserve">w tym miejscu zauważyć, że cele te zostały sformułowane ambitnie i nie sprowadzały się tylko do poziomu wiedzy jaki uczestnicy powinni osiągnąć. </w:t>
      </w:r>
    </w:p>
    <w:p w:rsidR="00FC088A" w:rsidRPr="00FC088A" w:rsidRDefault="00FC088A" w:rsidP="00FC088A">
      <w:pPr>
        <w:spacing w:after="120" w:line="312" w:lineRule="auto"/>
        <w:jc w:val="both"/>
        <w:rPr>
          <w:rFonts w:ascii="Times New Roman" w:hAnsi="Times New Roman" w:cs="Times New Roman"/>
          <w:spacing w:val="-2"/>
          <w:sz w:val="24"/>
          <w:szCs w:val="24"/>
        </w:rPr>
      </w:pPr>
      <w:r w:rsidRPr="00FC088A">
        <w:rPr>
          <w:rFonts w:ascii="Times New Roman" w:hAnsi="Times New Roman" w:cs="Times New Roman"/>
          <w:spacing w:val="-4"/>
          <w:sz w:val="24"/>
          <w:szCs w:val="24"/>
        </w:rPr>
        <w:t>Podobnie jak w trakcie szkoleń w ramach modułu I – Przygotowanie strategii i przeprowadzanie</w:t>
      </w:r>
      <w:r w:rsidRPr="00FC088A">
        <w:rPr>
          <w:rFonts w:ascii="Times New Roman" w:hAnsi="Times New Roman" w:cs="Times New Roman"/>
          <w:spacing w:val="-2"/>
          <w:sz w:val="24"/>
          <w:szCs w:val="24"/>
        </w:rPr>
        <w:t xml:space="preserve"> analizy SWOT, tak również w przypadku szkoleń w ramach modułu II </w:t>
      </w:r>
      <w:r>
        <w:rPr>
          <w:rFonts w:ascii="Times New Roman" w:hAnsi="Times New Roman" w:cs="Times New Roman"/>
          <w:spacing w:val="-2"/>
          <w:sz w:val="24"/>
          <w:szCs w:val="24"/>
        </w:rPr>
        <w:t>–</w:t>
      </w:r>
      <w:r w:rsidRPr="00FC088A">
        <w:rPr>
          <w:rFonts w:ascii="Times New Roman" w:hAnsi="Times New Roman" w:cs="Times New Roman"/>
          <w:spacing w:val="-2"/>
          <w:sz w:val="24"/>
          <w:szCs w:val="24"/>
        </w:rPr>
        <w:t xml:space="preserve"> Określanie celów LSR </w:t>
      </w:r>
      <w:r w:rsidRPr="00FC088A">
        <w:rPr>
          <w:rFonts w:ascii="Times New Roman" w:hAnsi="Times New Roman" w:cs="Times New Roman"/>
          <w:spacing w:val="4"/>
          <w:sz w:val="24"/>
          <w:szCs w:val="24"/>
        </w:rPr>
        <w:t>i wskaźników realizacji strategii dało się zaobserwować wysoki poziom kompetencji</w:t>
      </w:r>
      <w:r w:rsidRPr="00FC088A">
        <w:rPr>
          <w:rFonts w:ascii="Times New Roman" w:hAnsi="Times New Roman" w:cs="Times New Roman"/>
          <w:spacing w:val="-2"/>
          <w:sz w:val="24"/>
          <w:szCs w:val="24"/>
        </w:rPr>
        <w:t xml:space="preserve"> uczestników, dla których wiedza jest w dużej części środkiem do osiągania celu definiowanego jako lepsze zrozumienie metody postepowania w dążeniu do lepszych jakościowo strategii.</w:t>
      </w:r>
    </w:p>
    <w:p w:rsidR="00EF3C7B" w:rsidRDefault="00EF3C7B"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Obok zasadniczych rezultatów szkoleń opisanych w metodologii można zidentyfikować interesujące zjawiska, które zaobserwowali trenerzy:</w:t>
      </w:r>
    </w:p>
    <w:p w:rsidR="00F24DCA" w:rsidRPr="00704D9A" w:rsidRDefault="005B335E" w:rsidP="003C2358">
      <w:pPr>
        <w:spacing w:after="120" w:line="312" w:lineRule="auto"/>
        <w:jc w:val="both"/>
        <w:rPr>
          <w:rFonts w:ascii="Times New Roman" w:hAnsi="Times New Roman" w:cs="Times New Roman"/>
          <w:sz w:val="24"/>
          <w:szCs w:val="24"/>
          <w:highlight w:val="yellow"/>
        </w:rPr>
      </w:pPr>
      <w:r w:rsidRPr="00EF3C7B">
        <w:rPr>
          <w:rFonts w:ascii="Times New Roman" w:hAnsi="Times New Roman" w:cs="Times New Roman"/>
          <w:sz w:val="24"/>
          <w:szCs w:val="24"/>
        </w:rPr>
        <w:t xml:space="preserve">Po pierwsze – uczestnicy szkoleń </w:t>
      </w:r>
      <w:r w:rsidR="00EF3C7B" w:rsidRPr="00EF3C7B">
        <w:rPr>
          <w:rFonts w:ascii="Times New Roman" w:hAnsi="Times New Roman" w:cs="Times New Roman"/>
          <w:sz w:val="24"/>
          <w:szCs w:val="24"/>
        </w:rPr>
        <w:t xml:space="preserve">zaprezentowali wysoki stopień zaangażowania w prace warsztatowe. Jak sami podkreślali, to dzięki wykonywaniu konkretnych zadań, a następnie prezentowaniu efektów pracy w zespołach nominalnych, podnosili swoje kwalifikacje </w:t>
      </w:r>
      <w:r w:rsidR="00EF3C7B" w:rsidRPr="00EF3C7B">
        <w:rPr>
          <w:rFonts w:ascii="Times New Roman" w:hAnsi="Times New Roman" w:cs="Times New Roman"/>
          <w:sz w:val="24"/>
          <w:szCs w:val="24"/>
        </w:rPr>
        <w:br/>
        <w:t xml:space="preserve">w zakresie pracy zespołowej </w:t>
      </w:r>
      <w:r w:rsidRPr="00EF3C7B">
        <w:rPr>
          <w:rFonts w:ascii="Times New Roman" w:hAnsi="Times New Roman" w:cs="Times New Roman"/>
          <w:sz w:val="24"/>
          <w:szCs w:val="24"/>
        </w:rPr>
        <w:t>(</w:t>
      </w:r>
      <w:r w:rsidR="00EF3C7B" w:rsidRPr="00EF3C7B">
        <w:rPr>
          <w:rFonts w:ascii="Times New Roman" w:hAnsi="Times New Roman" w:cs="Times New Roman"/>
          <w:sz w:val="24"/>
          <w:szCs w:val="24"/>
        </w:rPr>
        <w:t xml:space="preserve">lepiej rozumieli, że indywidualna praca nad strategią powinna </w:t>
      </w:r>
      <w:r w:rsidR="00EF3C7B">
        <w:rPr>
          <w:rFonts w:ascii="Times New Roman" w:hAnsi="Times New Roman" w:cs="Times New Roman"/>
          <w:sz w:val="24"/>
          <w:szCs w:val="24"/>
        </w:rPr>
        <w:t>„</w:t>
      </w:r>
      <w:r w:rsidR="00EF3C7B" w:rsidRPr="00EF3C7B">
        <w:rPr>
          <w:rFonts w:ascii="Times New Roman" w:hAnsi="Times New Roman" w:cs="Times New Roman"/>
          <w:sz w:val="24"/>
          <w:szCs w:val="24"/>
        </w:rPr>
        <w:t>ustąpić miejsca</w:t>
      </w:r>
      <w:r w:rsidR="00EF3C7B">
        <w:rPr>
          <w:rFonts w:ascii="Times New Roman" w:hAnsi="Times New Roman" w:cs="Times New Roman"/>
          <w:sz w:val="24"/>
          <w:szCs w:val="24"/>
        </w:rPr>
        <w:t>”</w:t>
      </w:r>
      <w:r w:rsidR="00EF3C7B" w:rsidRPr="00EF3C7B">
        <w:rPr>
          <w:rFonts w:ascii="Times New Roman" w:hAnsi="Times New Roman" w:cs="Times New Roman"/>
          <w:sz w:val="24"/>
          <w:szCs w:val="24"/>
        </w:rPr>
        <w:t xml:space="preserve"> pracy zespołowej mimo, że takie podejście wymaga większego wysiłku </w:t>
      </w:r>
      <w:r w:rsidR="00EF3C7B" w:rsidRPr="00EF3C7B">
        <w:rPr>
          <w:rFonts w:ascii="Times New Roman" w:hAnsi="Times New Roman" w:cs="Times New Roman"/>
          <w:sz w:val="24"/>
          <w:szCs w:val="24"/>
        </w:rPr>
        <w:br/>
        <w:t xml:space="preserve">i dłuższego czasu). </w:t>
      </w:r>
      <w:r w:rsidR="00EF3C7B">
        <w:rPr>
          <w:rFonts w:ascii="Times New Roman" w:hAnsi="Times New Roman" w:cs="Times New Roman"/>
          <w:sz w:val="24"/>
          <w:szCs w:val="24"/>
        </w:rPr>
        <w:t>Praca zespołowa daje możliwości łączenia różnych „spojrzeń”</w:t>
      </w:r>
      <w:r w:rsidR="000A06C1">
        <w:rPr>
          <w:rFonts w:ascii="Times New Roman" w:hAnsi="Times New Roman" w:cs="Times New Roman"/>
          <w:sz w:val="24"/>
          <w:szCs w:val="24"/>
        </w:rPr>
        <w:t>,</w:t>
      </w:r>
      <w:r w:rsidR="00EF3C7B">
        <w:rPr>
          <w:rFonts w:ascii="Times New Roman" w:hAnsi="Times New Roman" w:cs="Times New Roman"/>
          <w:sz w:val="24"/>
          <w:szCs w:val="24"/>
        </w:rPr>
        <w:t xml:space="preserve"> </w:t>
      </w:r>
      <w:r w:rsidR="000A06C1">
        <w:rPr>
          <w:rFonts w:ascii="Times New Roman" w:hAnsi="Times New Roman" w:cs="Times New Roman"/>
          <w:sz w:val="24"/>
          <w:szCs w:val="24"/>
        </w:rPr>
        <w:t xml:space="preserve">czerpania </w:t>
      </w:r>
      <w:r w:rsidR="000A06C1">
        <w:rPr>
          <w:rFonts w:ascii="Times New Roman" w:hAnsi="Times New Roman" w:cs="Times New Roman"/>
          <w:sz w:val="24"/>
          <w:szCs w:val="24"/>
        </w:rPr>
        <w:br/>
        <w:t xml:space="preserve">z wiedzy i doświadczenia wielu osób, uzgadniania ocen i ich wzajemnej weryfikacji – co </w:t>
      </w:r>
      <w:r w:rsidR="000A06C1">
        <w:rPr>
          <w:rFonts w:ascii="Times New Roman" w:hAnsi="Times New Roman" w:cs="Times New Roman"/>
          <w:sz w:val="24"/>
          <w:szCs w:val="24"/>
        </w:rPr>
        <w:br/>
        <w:t>w oddolnym podejściu jest kluczowym zagadnieniem.</w:t>
      </w:r>
      <w:r w:rsidR="000A06C1" w:rsidRPr="00704D9A">
        <w:rPr>
          <w:rFonts w:ascii="Times New Roman" w:hAnsi="Times New Roman" w:cs="Times New Roman"/>
          <w:sz w:val="24"/>
          <w:szCs w:val="24"/>
          <w:highlight w:val="yellow"/>
        </w:rPr>
        <w:t xml:space="preserve"> </w:t>
      </w:r>
    </w:p>
    <w:p w:rsidR="0052672F" w:rsidRDefault="000E5C7D" w:rsidP="003C2358">
      <w:pPr>
        <w:spacing w:after="120" w:line="312" w:lineRule="auto"/>
        <w:jc w:val="both"/>
        <w:rPr>
          <w:rFonts w:ascii="Times New Roman" w:hAnsi="Times New Roman" w:cs="Times New Roman"/>
          <w:sz w:val="24"/>
          <w:szCs w:val="24"/>
        </w:rPr>
      </w:pPr>
      <w:r w:rsidRPr="000C13A1">
        <w:rPr>
          <w:rFonts w:ascii="Times New Roman" w:hAnsi="Times New Roman" w:cs="Times New Roman"/>
          <w:sz w:val="24"/>
          <w:szCs w:val="24"/>
        </w:rPr>
        <w:lastRenderedPageBreak/>
        <w:t xml:space="preserve">Po </w:t>
      </w:r>
      <w:r w:rsidR="001B3CDB">
        <w:rPr>
          <w:rFonts w:ascii="Times New Roman" w:hAnsi="Times New Roman" w:cs="Times New Roman"/>
          <w:sz w:val="24"/>
          <w:szCs w:val="24"/>
        </w:rPr>
        <w:t>drugie</w:t>
      </w:r>
      <w:r w:rsidRPr="000C13A1">
        <w:rPr>
          <w:rFonts w:ascii="Times New Roman" w:hAnsi="Times New Roman" w:cs="Times New Roman"/>
          <w:sz w:val="24"/>
          <w:szCs w:val="24"/>
        </w:rPr>
        <w:t xml:space="preserve"> – </w:t>
      </w:r>
      <w:r w:rsidR="000A06C1">
        <w:rPr>
          <w:rFonts w:ascii="Times New Roman" w:hAnsi="Times New Roman" w:cs="Times New Roman"/>
          <w:sz w:val="24"/>
          <w:szCs w:val="24"/>
        </w:rPr>
        <w:t xml:space="preserve">połączenie teoretycznych wykładów z praktycznymi warsztatami na ten sam temat, doprowadziło do ważnego rezultatu, który można opisać jako „nowe” spojrzenie na krytyczną analizę prowadzoną przez uczestników szkolenia wobec prezentowanych efektów pracy zespołowej. Ta krytyczna analiza ukazała wartość weryfikacji tego co już zostało zrobione i ukazała jak wiele możliwości „tkwi” w prowadzeniu debat i sporów wokół </w:t>
      </w:r>
      <w:r w:rsidR="00BB4C96">
        <w:rPr>
          <w:rFonts w:ascii="Times New Roman" w:hAnsi="Times New Roman" w:cs="Times New Roman"/>
          <w:sz w:val="24"/>
          <w:szCs w:val="24"/>
        </w:rPr>
        <w:t>kwestii</w:t>
      </w:r>
      <w:r w:rsidR="000A06C1">
        <w:rPr>
          <w:rFonts w:ascii="Times New Roman" w:hAnsi="Times New Roman" w:cs="Times New Roman"/>
          <w:sz w:val="24"/>
          <w:szCs w:val="24"/>
        </w:rPr>
        <w:t xml:space="preserve"> tak subiektywnych jak problemy rozwoju, aspiracje elity obszaru, oczekiwania lokalnych społeczności, a następnie </w:t>
      </w:r>
      <w:r w:rsidR="0052672F">
        <w:rPr>
          <w:rFonts w:ascii="Times New Roman" w:hAnsi="Times New Roman" w:cs="Times New Roman"/>
          <w:sz w:val="24"/>
          <w:szCs w:val="24"/>
        </w:rPr>
        <w:t xml:space="preserve">wyznaczanie celów zmiany na obszarze w powiązaniu z tymi oczekiwaniami i aspiracjami w kontekście możliwości jakie tworzy podejście LEADER </w:t>
      </w:r>
      <w:r w:rsidR="00BB4C96">
        <w:rPr>
          <w:rFonts w:ascii="Times New Roman" w:hAnsi="Times New Roman" w:cs="Times New Roman"/>
          <w:sz w:val="24"/>
          <w:szCs w:val="24"/>
        </w:rPr>
        <w:br/>
      </w:r>
      <w:r w:rsidR="0052672F">
        <w:rPr>
          <w:rFonts w:ascii="Times New Roman" w:hAnsi="Times New Roman" w:cs="Times New Roman"/>
          <w:sz w:val="24"/>
          <w:szCs w:val="24"/>
        </w:rPr>
        <w:t>w ramach konkretnego programu (funduszu europejskiego).</w:t>
      </w:r>
    </w:p>
    <w:p w:rsidR="000C13A1" w:rsidRDefault="0052672F"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Po </w:t>
      </w:r>
      <w:r w:rsidR="001B3CDB">
        <w:rPr>
          <w:rFonts w:ascii="Times New Roman" w:hAnsi="Times New Roman" w:cs="Times New Roman"/>
          <w:sz w:val="24"/>
          <w:szCs w:val="24"/>
        </w:rPr>
        <w:t>trzecie</w:t>
      </w:r>
      <w:r>
        <w:rPr>
          <w:rFonts w:ascii="Times New Roman" w:hAnsi="Times New Roman" w:cs="Times New Roman"/>
          <w:sz w:val="24"/>
          <w:szCs w:val="24"/>
        </w:rPr>
        <w:t xml:space="preserve"> – </w:t>
      </w:r>
      <w:r w:rsidR="000E5C7D" w:rsidRPr="000C13A1">
        <w:rPr>
          <w:rFonts w:ascii="Times New Roman" w:hAnsi="Times New Roman" w:cs="Times New Roman"/>
          <w:sz w:val="24"/>
          <w:szCs w:val="24"/>
        </w:rPr>
        <w:t xml:space="preserve">należy postawić tezę, że zajęcia warsztatowe skoncentrowane na doskonaleniu umiejętności, głównie intelektualnych, osiągnęły założone cele, bowiem często prezentowane efekty pracy zespołów nominalnych stawały się pretekstem do pogłębionej analizy jak „to zrobić?” jak postępować aby uzyskać pożądany rezultat? </w:t>
      </w:r>
      <w:r w:rsidR="000C13A1">
        <w:rPr>
          <w:rFonts w:ascii="Times New Roman" w:hAnsi="Times New Roman" w:cs="Times New Roman"/>
          <w:sz w:val="24"/>
          <w:szCs w:val="24"/>
        </w:rPr>
        <w:t>Zastosowana w tym module technika pracy nad tworzeniem drzewa problemów polegała na trzech fazach realizowanych równolegle przez wszystkie zespoły nominalne:</w:t>
      </w:r>
    </w:p>
    <w:p w:rsidR="005213E7" w:rsidRDefault="00942712"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P</w:t>
      </w:r>
      <w:r w:rsidR="000C13A1">
        <w:rPr>
          <w:rFonts w:ascii="Times New Roman" w:hAnsi="Times New Roman" w:cs="Times New Roman"/>
          <w:sz w:val="24"/>
          <w:szCs w:val="24"/>
        </w:rPr>
        <w:t>ierwsz</w:t>
      </w:r>
      <w:r>
        <w:rPr>
          <w:rFonts w:ascii="Times New Roman" w:hAnsi="Times New Roman" w:cs="Times New Roman"/>
          <w:sz w:val="24"/>
          <w:szCs w:val="24"/>
        </w:rPr>
        <w:t>a faza</w:t>
      </w:r>
      <w:r w:rsidR="000C13A1">
        <w:rPr>
          <w:rFonts w:ascii="Times New Roman" w:hAnsi="Times New Roman" w:cs="Times New Roman"/>
          <w:sz w:val="24"/>
          <w:szCs w:val="24"/>
        </w:rPr>
        <w:t xml:space="preserve"> – „wyszukanie” w opisie obszaru i analizie SWOT wszystkich negatywnych zjawisk</w:t>
      </w:r>
      <w:r w:rsidR="005213E7">
        <w:rPr>
          <w:rFonts w:ascii="Times New Roman" w:hAnsi="Times New Roman" w:cs="Times New Roman"/>
          <w:sz w:val="24"/>
          <w:szCs w:val="24"/>
        </w:rPr>
        <w:t>,</w:t>
      </w:r>
      <w:r w:rsidR="000C13A1">
        <w:rPr>
          <w:rFonts w:ascii="Times New Roman" w:hAnsi="Times New Roman" w:cs="Times New Roman"/>
          <w:sz w:val="24"/>
          <w:szCs w:val="24"/>
        </w:rPr>
        <w:t xml:space="preserve"> zapisanie </w:t>
      </w:r>
      <w:r w:rsidR="005213E7">
        <w:rPr>
          <w:rFonts w:ascii="Times New Roman" w:hAnsi="Times New Roman" w:cs="Times New Roman"/>
          <w:sz w:val="24"/>
          <w:szCs w:val="24"/>
        </w:rPr>
        <w:t>ich</w:t>
      </w:r>
      <w:r w:rsidR="000C13A1">
        <w:rPr>
          <w:rFonts w:ascii="Times New Roman" w:hAnsi="Times New Roman" w:cs="Times New Roman"/>
          <w:sz w:val="24"/>
          <w:szCs w:val="24"/>
        </w:rPr>
        <w:t xml:space="preserve">, a następnie </w:t>
      </w:r>
      <w:r w:rsidR="005213E7">
        <w:rPr>
          <w:rFonts w:ascii="Times New Roman" w:hAnsi="Times New Roman" w:cs="Times New Roman"/>
          <w:sz w:val="24"/>
          <w:szCs w:val="24"/>
        </w:rPr>
        <w:t>podzielenie na obszary tematyczne.</w:t>
      </w:r>
    </w:p>
    <w:p w:rsidR="008A3A1D" w:rsidRDefault="00942712"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D</w:t>
      </w:r>
      <w:r w:rsidR="000C13A1">
        <w:rPr>
          <w:rFonts w:ascii="Times New Roman" w:hAnsi="Times New Roman" w:cs="Times New Roman"/>
          <w:sz w:val="24"/>
          <w:szCs w:val="24"/>
        </w:rPr>
        <w:t>rug</w:t>
      </w:r>
      <w:r>
        <w:rPr>
          <w:rFonts w:ascii="Times New Roman" w:hAnsi="Times New Roman" w:cs="Times New Roman"/>
          <w:sz w:val="24"/>
          <w:szCs w:val="24"/>
        </w:rPr>
        <w:t>a faza</w:t>
      </w:r>
      <w:r w:rsidR="000C13A1">
        <w:rPr>
          <w:rFonts w:ascii="Times New Roman" w:hAnsi="Times New Roman" w:cs="Times New Roman"/>
          <w:sz w:val="24"/>
          <w:szCs w:val="24"/>
        </w:rPr>
        <w:t xml:space="preserve"> </w:t>
      </w:r>
      <w:r w:rsidR="008A3A1D">
        <w:rPr>
          <w:rFonts w:ascii="Times New Roman" w:hAnsi="Times New Roman" w:cs="Times New Roman"/>
          <w:sz w:val="24"/>
          <w:szCs w:val="24"/>
        </w:rPr>
        <w:t>–</w:t>
      </w:r>
      <w:r w:rsidR="000C13A1">
        <w:rPr>
          <w:rFonts w:ascii="Times New Roman" w:hAnsi="Times New Roman" w:cs="Times New Roman"/>
          <w:sz w:val="24"/>
          <w:szCs w:val="24"/>
        </w:rPr>
        <w:t xml:space="preserve"> </w:t>
      </w:r>
      <w:r w:rsidR="00BD4E12">
        <w:rPr>
          <w:rFonts w:ascii="Times New Roman" w:hAnsi="Times New Roman" w:cs="Times New Roman"/>
          <w:sz w:val="24"/>
          <w:szCs w:val="24"/>
        </w:rPr>
        <w:t xml:space="preserve">zidentyfikowanie wśród „negatywów” </w:t>
      </w:r>
      <w:r w:rsidR="005213E7">
        <w:rPr>
          <w:rFonts w:ascii="Times New Roman" w:hAnsi="Times New Roman" w:cs="Times New Roman"/>
          <w:sz w:val="24"/>
          <w:szCs w:val="24"/>
        </w:rPr>
        <w:t xml:space="preserve">poszczególnych obszarów tematycznych problemów </w:t>
      </w:r>
      <w:r w:rsidR="00BD4E12">
        <w:rPr>
          <w:rFonts w:ascii="Times New Roman" w:hAnsi="Times New Roman" w:cs="Times New Roman"/>
          <w:sz w:val="24"/>
          <w:szCs w:val="24"/>
        </w:rPr>
        <w:t>kluczow</w:t>
      </w:r>
      <w:r w:rsidR="005213E7">
        <w:rPr>
          <w:rFonts w:ascii="Times New Roman" w:hAnsi="Times New Roman" w:cs="Times New Roman"/>
          <w:sz w:val="24"/>
          <w:szCs w:val="24"/>
        </w:rPr>
        <w:t xml:space="preserve">ych </w:t>
      </w:r>
      <w:r w:rsidR="00BD4E12">
        <w:rPr>
          <w:rFonts w:ascii="Times New Roman" w:hAnsi="Times New Roman" w:cs="Times New Roman"/>
          <w:sz w:val="24"/>
          <w:szCs w:val="24"/>
        </w:rPr>
        <w:t>definiowan</w:t>
      </w:r>
      <w:r w:rsidR="005213E7">
        <w:rPr>
          <w:rFonts w:ascii="Times New Roman" w:hAnsi="Times New Roman" w:cs="Times New Roman"/>
          <w:sz w:val="24"/>
          <w:szCs w:val="24"/>
        </w:rPr>
        <w:t>ych</w:t>
      </w:r>
      <w:r w:rsidR="00BD4E12">
        <w:rPr>
          <w:rFonts w:ascii="Times New Roman" w:hAnsi="Times New Roman" w:cs="Times New Roman"/>
          <w:sz w:val="24"/>
          <w:szCs w:val="24"/>
        </w:rPr>
        <w:t xml:space="preserve"> jako </w:t>
      </w:r>
      <w:r w:rsidR="00BD4E12" w:rsidRPr="00942712">
        <w:rPr>
          <w:rFonts w:ascii="Times New Roman" w:hAnsi="Times New Roman" w:cs="Times New Roman"/>
          <w:i/>
          <w:sz w:val="24"/>
          <w:szCs w:val="24"/>
        </w:rPr>
        <w:t>negatywn</w:t>
      </w:r>
      <w:r w:rsidR="005213E7">
        <w:rPr>
          <w:rFonts w:ascii="Times New Roman" w:hAnsi="Times New Roman" w:cs="Times New Roman"/>
          <w:i/>
          <w:sz w:val="24"/>
          <w:szCs w:val="24"/>
        </w:rPr>
        <w:t>e</w:t>
      </w:r>
      <w:r w:rsidRPr="00942712">
        <w:rPr>
          <w:rFonts w:ascii="Times New Roman" w:hAnsi="Times New Roman" w:cs="Times New Roman"/>
          <w:i/>
          <w:sz w:val="24"/>
          <w:szCs w:val="24"/>
        </w:rPr>
        <w:t>,</w:t>
      </w:r>
      <w:r w:rsidR="00BD4E12" w:rsidRPr="00942712">
        <w:rPr>
          <w:rFonts w:ascii="Times New Roman" w:hAnsi="Times New Roman" w:cs="Times New Roman"/>
          <w:i/>
          <w:sz w:val="24"/>
          <w:szCs w:val="24"/>
        </w:rPr>
        <w:t xml:space="preserve"> istotn</w:t>
      </w:r>
      <w:r w:rsidR="005213E7">
        <w:rPr>
          <w:rFonts w:ascii="Times New Roman" w:hAnsi="Times New Roman" w:cs="Times New Roman"/>
          <w:i/>
          <w:sz w:val="24"/>
          <w:szCs w:val="24"/>
        </w:rPr>
        <w:t>e</w:t>
      </w:r>
      <w:r w:rsidR="00BD4E12" w:rsidRPr="00942712">
        <w:rPr>
          <w:rFonts w:ascii="Times New Roman" w:hAnsi="Times New Roman" w:cs="Times New Roman"/>
          <w:i/>
          <w:sz w:val="24"/>
          <w:szCs w:val="24"/>
        </w:rPr>
        <w:t xml:space="preserve"> i prawdziw</w:t>
      </w:r>
      <w:r w:rsidR="005213E7">
        <w:rPr>
          <w:rFonts w:ascii="Times New Roman" w:hAnsi="Times New Roman" w:cs="Times New Roman"/>
          <w:i/>
          <w:sz w:val="24"/>
          <w:szCs w:val="24"/>
        </w:rPr>
        <w:t>e</w:t>
      </w:r>
      <w:r w:rsidR="00BD4E12">
        <w:rPr>
          <w:rFonts w:ascii="Times New Roman" w:hAnsi="Times New Roman" w:cs="Times New Roman"/>
          <w:sz w:val="24"/>
          <w:szCs w:val="24"/>
        </w:rPr>
        <w:t xml:space="preserve"> odnosząc</w:t>
      </w:r>
      <w:r w:rsidR="005213E7">
        <w:rPr>
          <w:rFonts w:ascii="Times New Roman" w:hAnsi="Times New Roman" w:cs="Times New Roman"/>
          <w:sz w:val="24"/>
          <w:szCs w:val="24"/>
        </w:rPr>
        <w:t>e</w:t>
      </w:r>
      <w:r w:rsidR="00BD4E12">
        <w:rPr>
          <w:rFonts w:ascii="Times New Roman" w:hAnsi="Times New Roman" w:cs="Times New Roman"/>
          <w:sz w:val="24"/>
          <w:szCs w:val="24"/>
        </w:rPr>
        <w:t xml:space="preserve"> się do ludzi</w:t>
      </w:r>
      <w:r>
        <w:rPr>
          <w:rFonts w:ascii="Times New Roman" w:hAnsi="Times New Roman" w:cs="Times New Roman"/>
          <w:sz w:val="24"/>
          <w:szCs w:val="24"/>
        </w:rPr>
        <w:t xml:space="preserve"> oraz mając</w:t>
      </w:r>
      <w:r w:rsidR="005213E7">
        <w:rPr>
          <w:rFonts w:ascii="Times New Roman" w:hAnsi="Times New Roman" w:cs="Times New Roman"/>
          <w:sz w:val="24"/>
          <w:szCs w:val="24"/>
        </w:rPr>
        <w:t>e</w:t>
      </w:r>
      <w:r>
        <w:rPr>
          <w:rFonts w:ascii="Times New Roman" w:hAnsi="Times New Roman" w:cs="Times New Roman"/>
          <w:sz w:val="24"/>
          <w:szCs w:val="24"/>
        </w:rPr>
        <w:t xml:space="preserve"> największy negatywny wpływ na rozwój obszaru</w:t>
      </w:r>
      <w:r w:rsidR="005213E7">
        <w:rPr>
          <w:rFonts w:ascii="Times New Roman" w:hAnsi="Times New Roman" w:cs="Times New Roman"/>
          <w:sz w:val="24"/>
          <w:szCs w:val="24"/>
        </w:rPr>
        <w:t xml:space="preserve"> w tych tematach</w:t>
      </w:r>
      <w:r w:rsidR="00BD4E12">
        <w:rPr>
          <w:rFonts w:ascii="Times New Roman" w:hAnsi="Times New Roman" w:cs="Times New Roman"/>
          <w:sz w:val="24"/>
          <w:szCs w:val="24"/>
        </w:rPr>
        <w:t>.</w:t>
      </w:r>
      <w:r>
        <w:rPr>
          <w:rFonts w:ascii="Times New Roman" w:hAnsi="Times New Roman" w:cs="Times New Roman"/>
          <w:sz w:val="24"/>
          <w:szCs w:val="24"/>
        </w:rPr>
        <w:t xml:space="preserve"> Następnie zidentyfikowanie wśród „negatywów” takich, które stanowią przyczynę problemu </w:t>
      </w:r>
      <w:r w:rsidR="005213E7">
        <w:rPr>
          <w:rFonts w:ascii="Times New Roman" w:hAnsi="Times New Roman" w:cs="Times New Roman"/>
          <w:sz w:val="24"/>
          <w:szCs w:val="24"/>
        </w:rPr>
        <w:t xml:space="preserve">oraz jego </w:t>
      </w:r>
      <w:r>
        <w:rPr>
          <w:rFonts w:ascii="Times New Roman" w:hAnsi="Times New Roman" w:cs="Times New Roman"/>
          <w:sz w:val="24"/>
          <w:szCs w:val="24"/>
        </w:rPr>
        <w:t>następstwa.</w:t>
      </w:r>
      <w:r w:rsidR="005213E7">
        <w:rPr>
          <w:rFonts w:ascii="Times New Roman" w:hAnsi="Times New Roman" w:cs="Times New Roman"/>
          <w:sz w:val="24"/>
          <w:szCs w:val="24"/>
        </w:rPr>
        <w:t xml:space="preserve"> Technika ta prowadziła do utworzenia drzewa problemów jako negatywnego obrazu obszaru. </w:t>
      </w:r>
      <w:r>
        <w:rPr>
          <w:rFonts w:ascii="Times New Roman" w:hAnsi="Times New Roman" w:cs="Times New Roman"/>
          <w:sz w:val="24"/>
          <w:szCs w:val="24"/>
        </w:rPr>
        <w:t xml:space="preserve"> </w:t>
      </w:r>
      <w:r w:rsidR="005213E7">
        <w:rPr>
          <w:rFonts w:ascii="Times New Roman" w:hAnsi="Times New Roman" w:cs="Times New Roman"/>
          <w:sz w:val="24"/>
          <w:szCs w:val="24"/>
        </w:rPr>
        <w:t xml:space="preserve">Utworzone drzewa problemów w poszczególnych obszarach tematycznych zostały poddane </w:t>
      </w:r>
      <w:r>
        <w:rPr>
          <w:rFonts w:ascii="Times New Roman" w:hAnsi="Times New Roman" w:cs="Times New Roman"/>
          <w:sz w:val="24"/>
          <w:szCs w:val="24"/>
        </w:rPr>
        <w:t xml:space="preserve">krytycznej </w:t>
      </w:r>
      <w:r w:rsidR="005213E7">
        <w:rPr>
          <w:rFonts w:ascii="Times New Roman" w:hAnsi="Times New Roman" w:cs="Times New Roman"/>
          <w:sz w:val="24"/>
          <w:szCs w:val="24"/>
        </w:rPr>
        <w:t xml:space="preserve">dyskusji </w:t>
      </w:r>
      <w:r>
        <w:rPr>
          <w:rFonts w:ascii="Times New Roman" w:hAnsi="Times New Roman" w:cs="Times New Roman"/>
          <w:sz w:val="24"/>
          <w:szCs w:val="24"/>
        </w:rPr>
        <w:t>w wyniku, której zosta</w:t>
      </w:r>
      <w:r w:rsidR="005213E7">
        <w:rPr>
          <w:rFonts w:ascii="Times New Roman" w:hAnsi="Times New Roman" w:cs="Times New Roman"/>
          <w:sz w:val="24"/>
          <w:szCs w:val="24"/>
        </w:rPr>
        <w:t>ły</w:t>
      </w:r>
      <w:r>
        <w:rPr>
          <w:rFonts w:ascii="Times New Roman" w:hAnsi="Times New Roman" w:cs="Times New Roman"/>
          <w:sz w:val="24"/>
          <w:szCs w:val="24"/>
        </w:rPr>
        <w:t xml:space="preserve"> doprecyzowane zapisy problemu (problemów) przyczyn i następstw, w tym również odrzucenie tych, które są nieistotne lub nie związane z problemem kluczowym.</w:t>
      </w:r>
    </w:p>
    <w:p w:rsidR="005213E7" w:rsidRDefault="00942712"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T</w:t>
      </w:r>
      <w:r w:rsidR="008A3A1D">
        <w:rPr>
          <w:rFonts w:ascii="Times New Roman" w:hAnsi="Times New Roman" w:cs="Times New Roman"/>
          <w:sz w:val="24"/>
          <w:szCs w:val="24"/>
        </w:rPr>
        <w:t>rzeci</w:t>
      </w:r>
      <w:r>
        <w:rPr>
          <w:rFonts w:ascii="Times New Roman" w:hAnsi="Times New Roman" w:cs="Times New Roman"/>
          <w:sz w:val="24"/>
          <w:szCs w:val="24"/>
        </w:rPr>
        <w:t>a faza –</w:t>
      </w:r>
      <w:r w:rsidR="00BD4E12">
        <w:rPr>
          <w:rFonts w:ascii="Times New Roman" w:hAnsi="Times New Roman" w:cs="Times New Roman"/>
          <w:sz w:val="24"/>
          <w:szCs w:val="24"/>
        </w:rPr>
        <w:t xml:space="preserve"> </w:t>
      </w:r>
      <w:r w:rsidR="005213E7">
        <w:rPr>
          <w:rFonts w:ascii="Times New Roman" w:hAnsi="Times New Roman" w:cs="Times New Roman"/>
          <w:sz w:val="24"/>
          <w:szCs w:val="24"/>
        </w:rPr>
        <w:t>przekształcenie drzewa problemów w strukturę celów i wyznaczenie wskaźników.</w:t>
      </w:r>
      <w:r w:rsidR="00090FD1">
        <w:rPr>
          <w:rFonts w:ascii="Times New Roman" w:hAnsi="Times New Roman" w:cs="Times New Roman"/>
          <w:sz w:val="24"/>
          <w:szCs w:val="24"/>
        </w:rPr>
        <w:t xml:space="preserve"> </w:t>
      </w:r>
    </w:p>
    <w:p w:rsidR="00942712" w:rsidRDefault="000A06C1" w:rsidP="003C2358">
      <w:pPr>
        <w:spacing w:after="120" w:line="312" w:lineRule="auto"/>
        <w:jc w:val="both"/>
        <w:rPr>
          <w:rFonts w:ascii="Times New Roman" w:hAnsi="Times New Roman" w:cs="Times New Roman"/>
          <w:sz w:val="24"/>
          <w:szCs w:val="24"/>
        </w:rPr>
      </w:pPr>
      <w:r>
        <w:rPr>
          <w:rFonts w:ascii="Times New Roman" w:hAnsi="Times New Roman" w:cs="Times New Roman"/>
          <w:sz w:val="24"/>
          <w:szCs w:val="24"/>
        </w:rPr>
        <w:t xml:space="preserve">Jak się okazało, nawet ci spośród uczestników szkoleń, którzy uważali, że posiadają wystarczająca wiedzę i umiejętności w tym zakresie uznali, że każde kolejne doświadczenie edukacyjne posiada walor doskonalący i nie należy go lekceważyć. </w:t>
      </w:r>
    </w:p>
    <w:p w:rsidR="00381E79" w:rsidRPr="00704D9A" w:rsidRDefault="00381E79" w:rsidP="003C2358">
      <w:pPr>
        <w:spacing w:after="120" w:line="312" w:lineRule="auto"/>
        <w:jc w:val="both"/>
        <w:rPr>
          <w:rFonts w:ascii="Times New Roman" w:hAnsi="Times New Roman" w:cs="Times New Roman"/>
          <w:sz w:val="24"/>
          <w:szCs w:val="24"/>
        </w:rPr>
      </w:pPr>
      <w:r w:rsidRPr="00704D9A">
        <w:rPr>
          <w:rFonts w:ascii="Times New Roman" w:hAnsi="Times New Roman" w:cs="Times New Roman"/>
          <w:sz w:val="24"/>
          <w:szCs w:val="24"/>
        </w:rPr>
        <w:t>Ponadto warto odnotować następujące obserwacje:</w:t>
      </w:r>
    </w:p>
    <w:p w:rsidR="0052672F" w:rsidRDefault="0052672F" w:rsidP="003C2358">
      <w:pPr>
        <w:pStyle w:val="Akapitzlist"/>
        <w:numPr>
          <w:ilvl w:val="0"/>
          <w:numId w:val="6"/>
        </w:numPr>
        <w:spacing w:after="120" w:line="312" w:lineRule="auto"/>
        <w:jc w:val="both"/>
      </w:pPr>
      <w:r>
        <w:t xml:space="preserve">podobnie jak w przypadku szkoleń w ramach modułu I </w:t>
      </w:r>
      <w:r w:rsidR="00BB4C96">
        <w:t>–</w:t>
      </w:r>
      <w:r>
        <w:t xml:space="preserve"> </w:t>
      </w:r>
      <w:r w:rsidRPr="00FC088A">
        <w:rPr>
          <w:spacing w:val="-4"/>
        </w:rPr>
        <w:t xml:space="preserve">Przygotowanie strategii </w:t>
      </w:r>
      <w:r w:rsidR="00BB4C96">
        <w:rPr>
          <w:spacing w:val="-4"/>
        </w:rPr>
        <w:br/>
      </w:r>
      <w:r w:rsidRPr="00FC088A">
        <w:rPr>
          <w:spacing w:val="-4"/>
        </w:rPr>
        <w:t>i przeprowadzanie</w:t>
      </w:r>
      <w:r w:rsidRPr="00FC088A">
        <w:rPr>
          <w:spacing w:val="-2"/>
        </w:rPr>
        <w:t xml:space="preserve"> analizy SWOT</w:t>
      </w:r>
      <w:r>
        <w:t xml:space="preserve"> sprawdziły się w praktyce przyjęte zasady przedstawienia się trenera (rów) oraz zaprezentowanie się uczestników. Również </w:t>
      </w:r>
      <w:r>
        <w:lastRenderedPageBreak/>
        <w:t>skuteczna okazała się metoda wsparcia wykładów prezentacjami multimedialnymi i mapami mentalnymi, a także stosowanie rozciągaczy umysłu.</w:t>
      </w:r>
    </w:p>
    <w:p w:rsidR="00BC3421" w:rsidRDefault="00BC3421" w:rsidP="003C2358">
      <w:pPr>
        <w:pStyle w:val="Akapitzlist"/>
        <w:numPr>
          <w:ilvl w:val="0"/>
          <w:numId w:val="6"/>
        </w:numPr>
        <w:spacing w:after="120" w:line="312" w:lineRule="auto"/>
        <w:jc w:val="both"/>
      </w:pPr>
      <w:r>
        <w:t xml:space="preserve">w pracy warsztatowej sprawdziły się zespoły nominalne i wspólna praca nad przygotowaniem metodologii badań i konstruowaniem narzędzi badawczych. Należy </w:t>
      </w:r>
      <w:r w:rsidR="00BB4C96">
        <w:br/>
      </w:r>
      <w:r>
        <w:t>w tym miejscu odnotować obserwacje trenerów, z których wynika, że praktycznie wszyscy uczestnicy angażowali się</w:t>
      </w:r>
      <w:r w:rsidR="00BB4C96">
        <w:t xml:space="preserve"> w</w:t>
      </w:r>
      <w:r>
        <w:t xml:space="preserve"> prace warsztatowe mimo, że nie były to zadania, </w:t>
      </w:r>
      <w:r w:rsidR="00BB4C96">
        <w:br/>
      </w:r>
      <w:r>
        <w:t xml:space="preserve">z którymi „na co dzień” mają do czynienia. W wielu przypadkach opracowane założenia metodologiczne i przygotowane narzędzia </w:t>
      </w:r>
      <w:r w:rsidR="00BB4C96">
        <w:t>badawcze</w:t>
      </w:r>
      <w:r>
        <w:t xml:space="preserve"> „reprezentowały” wysoki poziom merytoryczny. Najważniejsze jest jednak to, że takie kwestie jak metodologia badań, raport metodologiczny, pilotaż, badania właściwe i raportowanie zostały przez uczestników „opanowane” i będą potrafili </w:t>
      </w:r>
      <w:r w:rsidR="00BB4C96">
        <w:t>osiągnięte</w:t>
      </w:r>
      <w:r>
        <w:t xml:space="preserve"> kompetencje wykorzystać bezpośrednio organizując i prowadząc badania jak również w procesie wybor</w:t>
      </w:r>
      <w:r w:rsidR="00BB4C96">
        <w:t>u</w:t>
      </w:r>
      <w:r>
        <w:t xml:space="preserve"> firm zewnętrznych do realizacji badań czy współpracy z ekspertami wspierającymi ich własne działania w tym </w:t>
      </w:r>
      <w:r w:rsidR="00BB4C96">
        <w:t>zakresie</w:t>
      </w:r>
      <w:r>
        <w:t>.</w:t>
      </w:r>
    </w:p>
    <w:p w:rsidR="00BB4C96" w:rsidRDefault="000E5C7D" w:rsidP="003C2358">
      <w:pPr>
        <w:pStyle w:val="Akapitzlist"/>
        <w:numPr>
          <w:ilvl w:val="0"/>
          <w:numId w:val="6"/>
        </w:numPr>
        <w:spacing w:after="120" w:line="312" w:lineRule="auto"/>
        <w:jc w:val="both"/>
      </w:pPr>
      <w:r w:rsidRPr="002C573A">
        <w:t xml:space="preserve">zastosowanie metody pracy w </w:t>
      </w:r>
      <w:r w:rsidR="00BB4C96">
        <w:t xml:space="preserve">niewielkich (do 5 osób) </w:t>
      </w:r>
      <w:r w:rsidRPr="002C573A">
        <w:t xml:space="preserve">zespołach nominalnych </w:t>
      </w:r>
      <w:r w:rsidR="00BB4C96">
        <w:t>tworzyło warunki (czasem „zmuszało”) d</w:t>
      </w:r>
      <w:r w:rsidRPr="002C573A">
        <w:t>o aktywności wszystkich członków zespołu</w:t>
      </w:r>
      <w:r w:rsidR="00BB4C96">
        <w:t xml:space="preserve">. Ja wynikało </w:t>
      </w:r>
      <w:r w:rsidR="00BB4C96">
        <w:br/>
        <w:t>z obserwacji sama prezentacja efektów pracy zespołów, a także ocena przez współuczestników szkolenia sprawiały, że rosło zaangażowanie w pracę warsztatowa. Co istotne, przy niewielkiej ingerencji ze strony trenerów, autorzy opracowań ze zrozumieniem przyjmowali krytykę, poprawiali opracowania (czasem „bronili” efektów swojej pracy, ale ostatecznie okazywali satysfakcj</w:t>
      </w:r>
      <w:r w:rsidR="001B3CDB">
        <w:t>ę</w:t>
      </w:r>
      <w:r w:rsidR="00BB4C96">
        <w:t xml:space="preserve"> z uznania jakie było pod ich adresem kierowane przez przedstawicieli pozostałych zespołów i trenera.</w:t>
      </w:r>
    </w:p>
    <w:p w:rsidR="001B3CDB" w:rsidRDefault="001B3CDB" w:rsidP="003C2358">
      <w:pPr>
        <w:pStyle w:val="Akapitzlist"/>
        <w:numPr>
          <w:ilvl w:val="0"/>
          <w:numId w:val="6"/>
        </w:numPr>
        <w:spacing w:after="120" w:line="312" w:lineRule="auto"/>
        <w:jc w:val="both"/>
      </w:pPr>
      <w:r>
        <w:t>sposób prezentowania efektów pracy zespołów, a także reakcje na prowadzoną dyskusję sokratejską świadczą o dobrym przygotowaniu uczestników do wykorzystania uzyskanych kompetencji w budowie strategii, a także o zdolności do przekazania wiedzy swoim współpracownikom w partnerstwie.</w:t>
      </w:r>
    </w:p>
    <w:p w:rsidR="007528BA" w:rsidRPr="00704D9A" w:rsidRDefault="007528BA" w:rsidP="007528BA">
      <w:pPr>
        <w:jc w:val="both"/>
        <w:rPr>
          <w:rFonts w:ascii="Times New Roman" w:hAnsi="Times New Roman" w:cs="Times New Roman"/>
          <w:sz w:val="24"/>
          <w:szCs w:val="24"/>
        </w:rPr>
      </w:pPr>
      <w:r w:rsidRPr="00704D9A">
        <w:rPr>
          <w:rFonts w:ascii="Times New Roman" w:hAnsi="Times New Roman" w:cs="Times New Roman"/>
          <w:sz w:val="24"/>
          <w:szCs w:val="24"/>
        </w:rPr>
        <w:t xml:space="preserve">Każde z 16 szkoleń trwało </w:t>
      </w:r>
      <w:r w:rsidR="00704D9A" w:rsidRPr="00704D9A">
        <w:rPr>
          <w:rFonts w:ascii="Times New Roman" w:hAnsi="Times New Roman" w:cs="Times New Roman"/>
          <w:sz w:val="24"/>
          <w:szCs w:val="24"/>
        </w:rPr>
        <w:t>16</w:t>
      </w:r>
      <w:r w:rsidRPr="00704D9A">
        <w:rPr>
          <w:rFonts w:ascii="Times New Roman" w:hAnsi="Times New Roman" w:cs="Times New Roman"/>
          <w:sz w:val="24"/>
          <w:szCs w:val="24"/>
        </w:rPr>
        <w:t xml:space="preserve"> godz. lekcyjnych i przebiegało według jed</w:t>
      </w:r>
      <w:r w:rsidR="00266617" w:rsidRPr="00704D9A">
        <w:rPr>
          <w:rFonts w:ascii="Times New Roman" w:hAnsi="Times New Roman" w:cs="Times New Roman"/>
          <w:sz w:val="24"/>
          <w:szCs w:val="24"/>
        </w:rPr>
        <w:t>nego szczegółowego harmonogramu:</w:t>
      </w:r>
    </w:p>
    <w:p w:rsidR="00704D9A" w:rsidRPr="00704D9A" w:rsidRDefault="00704D9A" w:rsidP="00704D9A">
      <w:pPr>
        <w:widowControl w:val="0"/>
        <w:autoSpaceDE w:val="0"/>
        <w:autoSpaceDN w:val="0"/>
        <w:spacing w:after="120" w:line="312" w:lineRule="auto"/>
        <w:outlineLvl w:val="0"/>
        <w:rPr>
          <w:rFonts w:ascii="Times New Roman" w:hAnsi="Times New Roman" w:cs="Times New Roman"/>
          <w:sz w:val="24"/>
          <w:szCs w:val="24"/>
        </w:rPr>
      </w:pPr>
      <w:r w:rsidRPr="00704D9A">
        <w:rPr>
          <w:rFonts w:ascii="Times New Roman" w:hAnsi="Times New Roman" w:cs="Times New Roman"/>
          <w:sz w:val="24"/>
          <w:szCs w:val="24"/>
        </w:rPr>
        <w:t>Dzień pierwszy</w:t>
      </w:r>
    </w:p>
    <w:p w:rsidR="00704D9A" w:rsidRPr="00704D9A" w:rsidRDefault="00704D9A" w:rsidP="00704D9A">
      <w:pPr>
        <w:widowControl w:val="0"/>
        <w:autoSpaceDE w:val="0"/>
        <w:autoSpaceDN w:val="0"/>
        <w:spacing w:after="120" w:line="312" w:lineRule="auto"/>
        <w:outlineLvl w:val="0"/>
        <w:rPr>
          <w:rFonts w:ascii="Times New Roman" w:hAnsi="Times New Roman" w:cs="Times New Roman"/>
          <w:sz w:val="24"/>
          <w:szCs w:val="24"/>
        </w:rPr>
      </w:pPr>
      <w:r w:rsidRPr="00704D9A">
        <w:rPr>
          <w:rFonts w:ascii="Times New Roman" w:hAnsi="Times New Roman" w:cs="Times New Roman"/>
          <w:sz w:val="24"/>
          <w:szCs w:val="24"/>
        </w:rPr>
        <w:t xml:space="preserve">      do   9.00 – Przyjazd, rejestracja uczestników, zakwaterowanie, serwis kawowy</w:t>
      </w:r>
    </w:p>
    <w:p w:rsidR="00704D9A" w:rsidRPr="00704D9A" w:rsidRDefault="00704D9A" w:rsidP="00704D9A">
      <w:pPr>
        <w:widowControl w:val="0"/>
        <w:autoSpaceDE w:val="0"/>
        <w:autoSpaceDN w:val="0"/>
        <w:spacing w:after="120" w:line="312" w:lineRule="auto"/>
        <w:outlineLvl w:val="0"/>
        <w:rPr>
          <w:rFonts w:ascii="Times New Roman" w:hAnsi="Times New Roman" w:cs="Times New Roman"/>
          <w:sz w:val="24"/>
          <w:szCs w:val="24"/>
        </w:rPr>
      </w:pPr>
      <w:r w:rsidRPr="00704D9A">
        <w:rPr>
          <w:rFonts w:ascii="Times New Roman" w:hAnsi="Times New Roman" w:cs="Times New Roman"/>
          <w:sz w:val="24"/>
          <w:szCs w:val="24"/>
        </w:rPr>
        <w:t xml:space="preserve">  9.00-  9.15 – Otwarcie szkolenia, przedstawienie się uczestników, cel i program</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  9.15-10.00 – Określanie celów LSR i wskaźników realizacji strategii – wykład</w:t>
      </w:r>
      <w:r w:rsidRPr="00704D9A">
        <w:rPr>
          <w:rFonts w:ascii="Times New Roman" w:hAnsi="Times New Roman" w:cs="Times New Roman"/>
          <w:sz w:val="24"/>
          <w:szCs w:val="24"/>
        </w:rPr>
        <w:br/>
        <w:t>wprowadzający do tematyki szkolenia</w:t>
      </w:r>
      <w:r>
        <w:rPr>
          <w:rFonts w:ascii="Times New Roman" w:hAnsi="Times New Roman" w:cs="Times New Roman"/>
          <w:sz w:val="24"/>
          <w:szCs w:val="24"/>
        </w:rPr>
        <w:t xml:space="preserve"> [1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10.00-11.30 – Zasady i sposoby identyfikacji problemów ich przyczyn i następstw (drzewo problemów) – wykład w formie prezentacji multimedialnej </w:t>
      </w:r>
      <w:r>
        <w:rPr>
          <w:rFonts w:ascii="Times New Roman" w:hAnsi="Times New Roman" w:cs="Times New Roman"/>
          <w:sz w:val="24"/>
          <w:szCs w:val="24"/>
        </w:rPr>
        <w:t>[2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lastRenderedPageBreak/>
        <w:t>11.30-12.15 – Metodyka przekształcania drzewa problemów w strukturę celów – wykład zaktywizowany poprzez mapę mentalną</w:t>
      </w:r>
      <w:r>
        <w:rPr>
          <w:rFonts w:ascii="Times New Roman" w:hAnsi="Times New Roman" w:cs="Times New Roman"/>
          <w:sz w:val="24"/>
          <w:szCs w:val="24"/>
        </w:rPr>
        <w:t xml:space="preserve"> [1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12.15-13.00 – Zasady konstruowania i cechy celów oraz wyznaczania wskaźników </w:t>
      </w:r>
      <w:r w:rsidRPr="00704D9A">
        <w:rPr>
          <w:rFonts w:ascii="Times New Roman" w:hAnsi="Times New Roman" w:cs="Times New Roman"/>
          <w:sz w:val="24"/>
          <w:szCs w:val="24"/>
        </w:rPr>
        <w:br/>
        <w:t xml:space="preserve">realizacji strategii – wykład w formie prezentacji multimedialnej </w:t>
      </w:r>
      <w:r>
        <w:rPr>
          <w:rFonts w:ascii="Times New Roman" w:hAnsi="Times New Roman" w:cs="Times New Roman"/>
          <w:sz w:val="24"/>
          <w:szCs w:val="24"/>
        </w:rPr>
        <w:t>[1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13.00-14.0</w:t>
      </w:r>
      <w:r>
        <w:rPr>
          <w:rFonts w:ascii="Times New Roman" w:hAnsi="Times New Roman" w:cs="Times New Roman"/>
          <w:sz w:val="24"/>
          <w:szCs w:val="24"/>
        </w:rPr>
        <w:t>0 – Obiad</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14.00-16.15 – Identyfikacja problemów i tworzenie drzewa problemów – warsztaty techniką </w:t>
      </w:r>
      <w:proofErr w:type="spellStart"/>
      <w:r w:rsidRPr="00704D9A">
        <w:rPr>
          <w:rFonts w:ascii="Times New Roman" w:hAnsi="Times New Roman" w:cs="Times New Roman"/>
          <w:sz w:val="24"/>
          <w:szCs w:val="24"/>
        </w:rPr>
        <w:t>case</w:t>
      </w:r>
      <w:proofErr w:type="spellEnd"/>
      <w:r w:rsidRPr="00704D9A">
        <w:rPr>
          <w:rFonts w:ascii="Times New Roman" w:hAnsi="Times New Roman" w:cs="Times New Roman"/>
          <w:sz w:val="24"/>
          <w:szCs w:val="24"/>
        </w:rPr>
        <w:t xml:space="preserve"> </w:t>
      </w:r>
      <w:proofErr w:type="spellStart"/>
      <w:r w:rsidRPr="00704D9A">
        <w:rPr>
          <w:rFonts w:ascii="Times New Roman" w:hAnsi="Times New Roman" w:cs="Times New Roman"/>
          <w:sz w:val="24"/>
          <w:szCs w:val="24"/>
        </w:rPr>
        <w:t>study</w:t>
      </w:r>
      <w:proofErr w:type="spellEnd"/>
      <w:r w:rsidRPr="00704D9A">
        <w:rPr>
          <w:rFonts w:ascii="Times New Roman" w:hAnsi="Times New Roman" w:cs="Times New Roman"/>
          <w:sz w:val="24"/>
          <w:szCs w:val="24"/>
        </w:rPr>
        <w:t xml:space="preserve"> </w:t>
      </w:r>
      <w:r>
        <w:rPr>
          <w:rFonts w:ascii="Times New Roman" w:hAnsi="Times New Roman" w:cs="Times New Roman"/>
          <w:sz w:val="24"/>
          <w:szCs w:val="24"/>
        </w:rPr>
        <w:t>[3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16.15-16.30 – Przerwa kawowa;</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16.30-18.00 – Przekształcanie drzewa problemów w strukturę celów – warsztaty techniką </w:t>
      </w:r>
      <w:proofErr w:type="spellStart"/>
      <w:r w:rsidRPr="00704D9A">
        <w:rPr>
          <w:rFonts w:ascii="Times New Roman" w:hAnsi="Times New Roman" w:cs="Times New Roman"/>
          <w:sz w:val="24"/>
          <w:szCs w:val="24"/>
        </w:rPr>
        <w:t>case</w:t>
      </w:r>
      <w:proofErr w:type="spellEnd"/>
      <w:r w:rsidRPr="00704D9A">
        <w:rPr>
          <w:rFonts w:ascii="Times New Roman" w:hAnsi="Times New Roman" w:cs="Times New Roman"/>
          <w:sz w:val="24"/>
          <w:szCs w:val="24"/>
        </w:rPr>
        <w:t xml:space="preserve"> </w:t>
      </w:r>
      <w:proofErr w:type="spellStart"/>
      <w:r w:rsidRPr="00704D9A">
        <w:rPr>
          <w:rFonts w:ascii="Times New Roman" w:hAnsi="Times New Roman" w:cs="Times New Roman"/>
          <w:sz w:val="24"/>
          <w:szCs w:val="24"/>
        </w:rPr>
        <w:t>study</w:t>
      </w:r>
      <w:proofErr w:type="spellEnd"/>
      <w:r w:rsidRPr="00704D9A">
        <w:rPr>
          <w:rFonts w:ascii="Times New Roman" w:hAnsi="Times New Roman" w:cs="Times New Roman"/>
          <w:sz w:val="24"/>
          <w:szCs w:val="24"/>
        </w:rPr>
        <w:t xml:space="preserve"> </w:t>
      </w:r>
      <w:r>
        <w:rPr>
          <w:rFonts w:ascii="Times New Roman" w:hAnsi="Times New Roman" w:cs="Times New Roman"/>
          <w:sz w:val="24"/>
          <w:szCs w:val="24"/>
        </w:rPr>
        <w:t>[2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18.00-19</w:t>
      </w:r>
      <w:r>
        <w:rPr>
          <w:rFonts w:ascii="Times New Roman" w:hAnsi="Times New Roman" w:cs="Times New Roman"/>
          <w:sz w:val="24"/>
          <w:szCs w:val="24"/>
        </w:rPr>
        <w:t>.00 – Kolacja</w:t>
      </w:r>
    </w:p>
    <w:p w:rsidR="00704D9A" w:rsidRPr="00704D9A" w:rsidRDefault="00704D9A" w:rsidP="00704D9A">
      <w:pPr>
        <w:widowControl w:val="0"/>
        <w:autoSpaceDE w:val="0"/>
        <w:autoSpaceDN w:val="0"/>
        <w:spacing w:after="120" w:line="312" w:lineRule="auto"/>
        <w:outlineLvl w:val="0"/>
        <w:rPr>
          <w:rFonts w:ascii="Times New Roman" w:hAnsi="Times New Roman" w:cs="Times New Roman"/>
          <w:sz w:val="24"/>
          <w:szCs w:val="24"/>
        </w:rPr>
      </w:pPr>
      <w:r w:rsidRPr="00704D9A">
        <w:rPr>
          <w:rFonts w:ascii="Times New Roman" w:hAnsi="Times New Roman" w:cs="Times New Roman"/>
          <w:sz w:val="24"/>
          <w:szCs w:val="24"/>
        </w:rPr>
        <w:t>Dzień drugi</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  7.30-  8.15 – Śniadanie; </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  8.15-  9.45 – Prezentacja wyników opracowań, krytyczna analiza i ocena – dyskusja sokratejska [2</w:t>
      </w:r>
      <w:r>
        <w:rPr>
          <w:rFonts w:ascii="Times New Roman" w:hAnsi="Times New Roman" w:cs="Times New Roman"/>
          <w:sz w:val="24"/>
          <w:szCs w:val="24"/>
        </w:rPr>
        <w:t xml:space="preserve">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  9.45-10.30 – Wyznaczania wskaźników realizacji strategii – warsztaty techniką </w:t>
      </w:r>
      <w:proofErr w:type="spellStart"/>
      <w:r w:rsidRPr="00704D9A">
        <w:rPr>
          <w:rFonts w:ascii="Times New Roman" w:hAnsi="Times New Roman" w:cs="Times New Roman"/>
          <w:sz w:val="24"/>
          <w:szCs w:val="24"/>
        </w:rPr>
        <w:t>case</w:t>
      </w:r>
      <w:proofErr w:type="spellEnd"/>
      <w:r w:rsidRPr="00704D9A">
        <w:rPr>
          <w:rFonts w:ascii="Times New Roman" w:hAnsi="Times New Roman" w:cs="Times New Roman"/>
          <w:sz w:val="24"/>
          <w:szCs w:val="24"/>
        </w:rPr>
        <w:t xml:space="preserve"> </w:t>
      </w:r>
      <w:proofErr w:type="spellStart"/>
      <w:r w:rsidRPr="00704D9A">
        <w:rPr>
          <w:rFonts w:ascii="Times New Roman" w:hAnsi="Times New Roman" w:cs="Times New Roman"/>
          <w:sz w:val="24"/>
          <w:szCs w:val="24"/>
        </w:rPr>
        <w:t>study</w:t>
      </w:r>
      <w:proofErr w:type="spellEnd"/>
      <w:r w:rsidRPr="00704D9A">
        <w:rPr>
          <w:rFonts w:ascii="Times New Roman" w:hAnsi="Times New Roman" w:cs="Times New Roman"/>
          <w:sz w:val="24"/>
          <w:szCs w:val="24"/>
        </w:rPr>
        <w:t xml:space="preserve"> </w:t>
      </w:r>
      <w:r>
        <w:rPr>
          <w:rFonts w:ascii="Times New Roman" w:hAnsi="Times New Roman" w:cs="Times New Roman"/>
          <w:sz w:val="24"/>
          <w:szCs w:val="24"/>
        </w:rPr>
        <w:br/>
        <w:t>[1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10.30-10</w:t>
      </w:r>
      <w:r>
        <w:rPr>
          <w:rFonts w:ascii="Times New Roman" w:hAnsi="Times New Roman" w:cs="Times New Roman"/>
          <w:sz w:val="24"/>
          <w:szCs w:val="24"/>
        </w:rPr>
        <w:t>.45 – Przerwa kawowa</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10.45-11.30 – Prezentacja wyników opracowań oraz ocena przez trenera </w:t>
      </w:r>
      <w:r>
        <w:rPr>
          <w:rFonts w:ascii="Times New Roman" w:hAnsi="Times New Roman" w:cs="Times New Roman"/>
          <w:sz w:val="24"/>
          <w:szCs w:val="24"/>
        </w:rPr>
        <w:t>[1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 xml:space="preserve">11.30-12.15 – Test sprawdzający wiedzę </w:t>
      </w:r>
      <w:r>
        <w:rPr>
          <w:rFonts w:ascii="Times New Roman" w:hAnsi="Times New Roman" w:cs="Times New Roman"/>
          <w:sz w:val="24"/>
          <w:szCs w:val="24"/>
        </w:rPr>
        <w:t>[1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12.15-13.00 – Omówienie przebiegu oraz podsumowanie szkolenia [1 godz.]</w:t>
      </w:r>
    </w:p>
    <w:p w:rsidR="00704D9A" w:rsidRPr="00704D9A" w:rsidRDefault="00704D9A" w:rsidP="00704D9A">
      <w:pPr>
        <w:widowControl w:val="0"/>
        <w:autoSpaceDE w:val="0"/>
        <w:autoSpaceDN w:val="0"/>
        <w:spacing w:after="120" w:line="312" w:lineRule="auto"/>
        <w:ind w:left="1389" w:hanging="1389"/>
        <w:outlineLvl w:val="0"/>
        <w:rPr>
          <w:rFonts w:ascii="Times New Roman" w:hAnsi="Times New Roman" w:cs="Times New Roman"/>
          <w:sz w:val="24"/>
          <w:szCs w:val="24"/>
        </w:rPr>
      </w:pPr>
      <w:r w:rsidRPr="00704D9A">
        <w:rPr>
          <w:rFonts w:ascii="Times New Roman" w:hAnsi="Times New Roman" w:cs="Times New Roman"/>
          <w:sz w:val="24"/>
          <w:szCs w:val="24"/>
        </w:rPr>
        <w:t>13.00-14.00</w:t>
      </w:r>
      <w:r>
        <w:rPr>
          <w:rFonts w:ascii="Times New Roman" w:hAnsi="Times New Roman" w:cs="Times New Roman"/>
          <w:sz w:val="24"/>
          <w:szCs w:val="24"/>
        </w:rPr>
        <w:t xml:space="preserve"> – Obiad</w:t>
      </w:r>
    </w:p>
    <w:p w:rsidR="00FB3980" w:rsidRDefault="004613BD" w:rsidP="001B5722">
      <w:pPr>
        <w:jc w:val="both"/>
        <w:rPr>
          <w:rFonts w:ascii="Times New Roman" w:hAnsi="Times New Roman" w:cs="Times New Roman"/>
          <w:sz w:val="24"/>
          <w:szCs w:val="24"/>
        </w:rPr>
      </w:pPr>
      <w:r w:rsidRPr="0052672F">
        <w:rPr>
          <w:rFonts w:ascii="Times New Roman" w:hAnsi="Times New Roman" w:cs="Times New Roman"/>
          <w:sz w:val="24"/>
          <w:szCs w:val="24"/>
        </w:rPr>
        <w:t xml:space="preserve">Łącznie w okresie od </w:t>
      </w:r>
      <w:r w:rsidR="0052672F" w:rsidRPr="0052672F">
        <w:rPr>
          <w:rFonts w:ascii="Times New Roman" w:hAnsi="Times New Roman" w:cs="Times New Roman"/>
          <w:sz w:val="24"/>
          <w:szCs w:val="24"/>
        </w:rPr>
        <w:t>8</w:t>
      </w:r>
      <w:r w:rsidR="001E7A2A" w:rsidRPr="0052672F">
        <w:rPr>
          <w:rFonts w:ascii="Times New Roman" w:hAnsi="Times New Roman" w:cs="Times New Roman"/>
          <w:sz w:val="24"/>
          <w:szCs w:val="24"/>
        </w:rPr>
        <w:t xml:space="preserve"> </w:t>
      </w:r>
      <w:r w:rsidR="00266617" w:rsidRPr="0052672F">
        <w:rPr>
          <w:rFonts w:ascii="Times New Roman" w:hAnsi="Times New Roman" w:cs="Times New Roman"/>
          <w:sz w:val="24"/>
          <w:szCs w:val="24"/>
        </w:rPr>
        <w:t>października</w:t>
      </w:r>
      <w:r w:rsidR="001E7A2A" w:rsidRPr="0052672F">
        <w:rPr>
          <w:rFonts w:ascii="Times New Roman" w:hAnsi="Times New Roman" w:cs="Times New Roman"/>
          <w:sz w:val="24"/>
          <w:szCs w:val="24"/>
        </w:rPr>
        <w:t xml:space="preserve"> 201</w:t>
      </w:r>
      <w:r w:rsidR="00266617" w:rsidRPr="0052672F">
        <w:rPr>
          <w:rFonts w:ascii="Times New Roman" w:hAnsi="Times New Roman" w:cs="Times New Roman"/>
          <w:sz w:val="24"/>
          <w:szCs w:val="24"/>
        </w:rPr>
        <w:t>4</w:t>
      </w:r>
      <w:r w:rsidR="001E7A2A" w:rsidRPr="0052672F">
        <w:rPr>
          <w:rFonts w:ascii="Times New Roman" w:hAnsi="Times New Roman" w:cs="Times New Roman"/>
          <w:sz w:val="24"/>
          <w:szCs w:val="24"/>
        </w:rPr>
        <w:t xml:space="preserve"> roku</w:t>
      </w:r>
      <w:r w:rsidRPr="0052672F">
        <w:rPr>
          <w:rFonts w:ascii="Times New Roman" w:hAnsi="Times New Roman" w:cs="Times New Roman"/>
          <w:sz w:val="24"/>
          <w:szCs w:val="24"/>
        </w:rPr>
        <w:t xml:space="preserve"> do </w:t>
      </w:r>
      <w:r w:rsidR="001B3CDB">
        <w:rPr>
          <w:rFonts w:ascii="Times New Roman" w:hAnsi="Times New Roman" w:cs="Times New Roman"/>
          <w:sz w:val="24"/>
          <w:szCs w:val="24"/>
        </w:rPr>
        <w:t>9</w:t>
      </w:r>
      <w:r w:rsidR="001E7A2A" w:rsidRPr="0052672F">
        <w:rPr>
          <w:rFonts w:ascii="Times New Roman" w:hAnsi="Times New Roman" w:cs="Times New Roman"/>
          <w:sz w:val="24"/>
          <w:szCs w:val="24"/>
        </w:rPr>
        <w:t xml:space="preserve"> stycznia 2015 roku</w:t>
      </w:r>
      <w:r w:rsidRPr="0052672F">
        <w:rPr>
          <w:rFonts w:ascii="Times New Roman" w:hAnsi="Times New Roman" w:cs="Times New Roman"/>
          <w:sz w:val="24"/>
          <w:szCs w:val="24"/>
        </w:rPr>
        <w:t xml:space="preserve"> przeprowadzono 16 szkoleń, po jednym w każdym województwie, w których uczestniczyło </w:t>
      </w:r>
      <w:r w:rsidR="0052672F" w:rsidRPr="0052672F">
        <w:rPr>
          <w:rFonts w:ascii="Times New Roman" w:hAnsi="Times New Roman" w:cs="Times New Roman"/>
          <w:sz w:val="24"/>
          <w:szCs w:val="24"/>
        </w:rPr>
        <w:t>285</w:t>
      </w:r>
      <w:r w:rsidRPr="0052672F">
        <w:rPr>
          <w:rFonts w:ascii="Times New Roman" w:hAnsi="Times New Roman" w:cs="Times New Roman"/>
          <w:sz w:val="24"/>
          <w:szCs w:val="24"/>
        </w:rPr>
        <w:t xml:space="preserve"> przedstawicieli </w:t>
      </w:r>
      <w:r w:rsidR="0052672F" w:rsidRPr="0052672F">
        <w:rPr>
          <w:rFonts w:ascii="Times New Roman" w:hAnsi="Times New Roman" w:cs="Times New Roman"/>
          <w:sz w:val="24"/>
          <w:szCs w:val="24"/>
        </w:rPr>
        <w:t>227</w:t>
      </w:r>
      <w:r w:rsidRPr="0052672F">
        <w:rPr>
          <w:rFonts w:ascii="Times New Roman" w:hAnsi="Times New Roman" w:cs="Times New Roman"/>
          <w:sz w:val="24"/>
          <w:szCs w:val="24"/>
        </w:rPr>
        <w:t xml:space="preserve"> LGD.</w:t>
      </w:r>
    </w:p>
    <w:p w:rsidR="006C71EE" w:rsidRPr="00FB3980" w:rsidRDefault="006C71EE" w:rsidP="001B5722">
      <w:pPr>
        <w:jc w:val="both"/>
        <w:rPr>
          <w:rFonts w:ascii="Times New Roman" w:hAnsi="Times New Roman" w:cs="Times New Roman"/>
          <w:sz w:val="24"/>
          <w:szCs w:val="24"/>
        </w:rPr>
      </w:pPr>
    </w:p>
    <w:sectPr w:rsidR="006C71EE" w:rsidRPr="00FB3980" w:rsidSect="00EB6A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B" w:rsidRDefault="00B8751B" w:rsidP="00A81109">
      <w:pPr>
        <w:spacing w:after="0" w:line="240" w:lineRule="auto"/>
      </w:pPr>
      <w:r>
        <w:separator/>
      </w:r>
    </w:p>
  </w:endnote>
  <w:endnote w:type="continuationSeparator" w:id="0">
    <w:p w:rsidR="00B8751B" w:rsidRDefault="00B8751B" w:rsidP="00A8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870"/>
      <w:docPartObj>
        <w:docPartGallery w:val="Page Numbers (Bottom of Page)"/>
        <w:docPartUnique/>
      </w:docPartObj>
    </w:sdtPr>
    <w:sdtEndPr/>
    <w:sdtContent>
      <w:p w:rsidR="004613BD" w:rsidRDefault="00A145C1">
        <w:pPr>
          <w:pStyle w:val="Stopka"/>
          <w:jc w:val="center"/>
        </w:pPr>
        <w:r>
          <w:fldChar w:fldCharType="begin"/>
        </w:r>
        <w:r>
          <w:instrText xml:space="preserve"> PAGE   \* MERGEFORMAT </w:instrText>
        </w:r>
        <w:r>
          <w:fldChar w:fldCharType="separate"/>
        </w:r>
        <w:r w:rsidR="00D94E51">
          <w:rPr>
            <w:noProof/>
          </w:rPr>
          <w:t>1</w:t>
        </w:r>
        <w:r>
          <w:rPr>
            <w:noProof/>
          </w:rPr>
          <w:fldChar w:fldCharType="end"/>
        </w:r>
      </w:p>
    </w:sdtContent>
  </w:sdt>
  <w:p w:rsidR="004613BD" w:rsidRDefault="004613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B" w:rsidRDefault="00B8751B" w:rsidP="00A81109">
      <w:pPr>
        <w:spacing w:after="0" w:line="240" w:lineRule="auto"/>
      </w:pPr>
      <w:r>
        <w:separator/>
      </w:r>
    </w:p>
  </w:footnote>
  <w:footnote w:type="continuationSeparator" w:id="0">
    <w:p w:rsidR="00B8751B" w:rsidRDefault="00B8751B" w:rsidP="00A8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2FC4"/>
    <w:multiLevelType w:val="hybridMultilevel"/>
    <w:tmpl w:val="7924E14C"/>
    <w:lvl w:ilvl="0" w:tplc="C1266416">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0F4EDC"/>
    <w:multiLevelType w:val="hybridMultilevel"/>
    <w:tmpl w:val="32B47FE4"/>
    <w:lvl w:ilvl="0" w:tplc="C1266416">
      <w:start w:val="1"/>
      <w:numFmt w:val="bullet"/>
      <w:lvlText w:val="-"/>
      <w:lvlJc w:val="left"/>
      <w:pPr>
        <w:ind w:left="720" w:hanging="360"/>
      </w:pPr>
      <w:rPr>
        <w:rFonts w:ascii="Tahoma" w:hAnsi="Tahoma" w:hint="default"/>
      </w:rPr>
    </w:lvl>
    <w:lvl w:ilvl="1" w:tplc="5E5EAC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A80A8D"/>
    <w:multiLevelType w:val="hybridMultilevel"/>
    <w:tmpl w:val="E99A59E0"/>
    <w:lvl w:ilvl="0" w:tplc="0415001B">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35F0646"/>
    <w:multiLevelType w:val="hybridMultilevel"/>
    <w:tmpl w:val="D0724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9F3302"/>
    <w:multiLevelType w:val="hybridMultilevel"/>
    <w:tmpl w:val="FC60AA52"/>
    <w:lvl w:ilvl="0" w:tplc="3C5626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F2"/>
    <w:rsid w:val="000001D7"/>
    <w:rsid w:val="00004B23"/>
    <w:rsid w:val="000334EE"/>
    <w:rsid w:val="00041E0A"/>
    <w:rsid w:val="00056D32"/>
    <w:rsid w:val="000719A7"/>
    <w:rsid w:val="0008170C"/>
    <w:rsid w:val="00090FD1"/>
    <w:rsid w:val="00096F74"/>
    <w:rsid w:val="000A06C1"/>
    <w:rsid w:val="000B3D25"/>
    <w:rsid w:val="000B4F54"/>
    <w:rsid w:val="000C13A1"/>
    <w:rsid w:val="000C1C04"/>
    <w:rsid w:val="000C4637"/>
    <w:rsid w:val="000D30E4"/>
    <w:rsid w:val="000D65B9"/>
    <w:rsid w:val="000E09D9"/>
    <w:rsid w:val="000E0BF3"/>
    <w:rsid w:val="000E5C7D"/>
    <w:rsid w:val="000F2E17"/>
    <w:rsid w:val="00113A87"/>
    <w:rsid w:val="00126CE9"/>
    <w:rsid w:val="001274CA"/>
    <w:rsid w:val="00127EF5"/>
    <w:rsid w:val="001656E5"/>
    <w:rsid w:val="00167DD9"/>
    <w:rsid w:val="00173AA4"/>
    <w:rsid w:val="00175225"/>
    <w:rsid w:val="0017689D"/>
    <w:rsid w:val="00176D5F"/>
    <w:rsid w:val="00184556"/>
    <w:rsid w:val="001A5359"/>
    <w:rsid w:val="001B2D0D"/>
    <w:rsid w:val="001B3CDB"/>
    <w:rsid w:val="001B5722"/>
    <w:rsid w:val="001B7B7C"/>
    <w:rsid w:val="001C7EF4"/>
    <w:rsid w:val="001D7546"/>
    <w:rsid w:val="001E7A2A"/>
    <w:rsid w:val="001F3D19"/>
    <w:rsid w:val="001F4F52"/>
    <w:rsid w:val="0020201D"/>
    <w:rsid w:val="00206223"/>
    <w:rsid w:val="002109CC"/>
    <w:rsid w:val="00220CA4"/>
    <w:rsid w:val="002218CA"/>
    <w:rsid w:val="0024108D"/>
    <w:rsid w:val="00254105"/>
    <w:rsid w:val="002579EA"/>
    <w:rsid w:val="00260998"/>
    <w:rsid w:val="00266617"/>
    <w:rsid w:val="00276EDB"/>
    <w:rsid w:val="0029052B"/>
    <w:rsid w:val="002A2DD2"/>
    <w:rsid w:val="002C573A"/>
    <w:rsid w:val="003004DC"/>
    <w:rsid w:val="00315167"/>
    <w:rsid w:val="0031589D"/>
    <w:rsid w:val="00322984"/>
    <w:rsid w:val="00324E17"/>
    <w:rsid w:val="00330162"/>
    <w:rsid w:val="00344181"/>
    <w:rsid w:val="0034603F"/>
    <w:rsid w:val="00377544"/>
    <w:rsid w:val="00381E79"/>
    <w:rsid w:val="0038468A"/>
    <w:rsid w:val="00396A6C"/>
    <w:rsid w:val="003C0885"/>
    <w:rsid w:val="003C2358"/>
    <w:rsid w:val="003C3B88"/>
    <w:rsid w:val="003D0E08"/>
    <w:rsid w:val="003D2B46"/>
    <w:rsid w:val="003D4D97"/>
    <w:rsid w:val="003F0B9A"/>
    <w:rsid w:val="003F4C9C"/>
    <w:rsid w:val="00403DB1"/>
    <w:rsid w:val="00417C43"/>
    <w:rsid w:val="0042472D"/>
    <w:rsid w:val="00427098"/>
    <w:rsid w:val="00432495"/>
    <w:rsid w:val="00444679"/>
    <w:rsid w:val="0044559D"/>
    <w:rsid w:val="0045108D"/>
    <w:rsid w:val="004613BD"/>
    <w:rsid w:val="00466C25"/>
    <w:rsid w:val="00471038"/>
    <w:rsid w:val="00481D68"/>
    <w:rsid w:val="004B1101"/>
    <w:rsid w:val="004B20E3"/>
    <w:rsid w:val="004B6DE2"/>
    <w:rsid w:val="004C2E3D"/>
    <w:rsid w:val="004D458B"/>
    <w:rsid w:val="004F17B4"/>
    <w:rsid w:val="00515B61"/>
    <w:rsid w:val="00517018"/>
    <w:rsid w:val="005213E7"/>
    <w:rsid w:val="00523AC2"/>
    <w:rsid w:val="0052672F"/>
    <w:rsid w:val="0052690D"/>
    <w:rsid w:val="00530C75"/>
    <w:rsid w:val="00540C4E"/>
    <w:rsid w:val="005502C4"/>
    <w:rsid w:val="0055139D"/>
    <w:rsid w:val="00566137"/>
    <w:rsid w:val="00573D34"/>
    <w:rsid w:val="00583CFF"/>
    <w:rsid w:val="00583E9C"/>
    <w:rsid w:val="005902B0"/>
    <w:rsid w:val="005A21D8"/>
    <w:rsid w:val="005A26D2"/>
    <w:rsid w:val="005A2957"/>
    <w:rsid w:val="005A7840"/>
    <w:rsid w:val="005B335E"/>
    <w:rsid w:val="005C73F9"/>
    <w:rsid w:val="005D12B4"/>
    <w:rsid w:val="005E2490"/>
    <w:rsid w:val="005E5216"/>
    <w:rsid w:val="006057D0"/>
    <w:rsid w:val="00610583"/>
    <w:rsid w:val="00621A00"/>
    <w:rsid w:val="00627C0F"/>
    <w:rsid w:val="00631205"/>
    <w:rsid w:val="006333D6"/>
    <w:rsid w:val="0064515A"/>
    <w:rsid w:val="00650048"/>
    <w:rsid w:val="006500A6"/>
    <w:rsid w:val="00655ACD"/>
    <w:rsid w:val="0065630F"/>
    <w:rsid w:val="006570F2"/>
    <w:rsid w:val="006633AF"/>
    <w:rsid w:val="00666BCE"/>
    <w:rsid w:val="006803C0"/>
    <w:rsid w:val="00692817"/>
    <w:rsid w:val="006B57CE"/>
    <w:rsid w:val="006C71EE"/>
    <w:rsid w:val="00700550"/>
    <w:rsid w:val="00704D9A"/>
    <w:rsid w:val="0070581E"/>
    <w:rsid w:val="0070754F"/>
    <w:rsid w:val="00711911"/>
    <w:rsid w:val="00712DAB"/>
    <w:rsid w:val="007251C1"/>
    <w:rsid w:val="007321D5"/>
    <w:rsid w:val="00732890"/>
    <w:rsid w:val="00732EE3"/>
    <w:rsid w:val="00741BB5"/>
    <w:rsid w:val="007528BA"/>
    <w:rsid w:val="007700F2"/>
    <w:rsid w:val="00775C5F"/>
    <w:rsid w:val="00797E3C"/>
    <w:rsid w:val="00797F16"/>
    <w:rsid w:val="007A1D02"/>
    <w:rsid w:val="007C4478"/>
    <w:rsid w:val="007D7491"/>
    <w:rsid w:val="007E0551"/>
    <w:rsid w:val="007E7278"/>
    <w:rsid w:val="008174A7"/>
    <w:rsid w:val="008219BB"/>
    <w:rsid w:val="00833DED"/>
    <w:rsid w:val="00853812"/>
    <w:rsid w:val="00871F2A"/>
    <w:rsid w:val="008916E3"/>
    <w:rsid w:val="008A07C1"/>
    <w:rsid w:val="008A2827"/>
    <w:rsid w:val="008A3A1D"/>
    <w:rsid w:val="008C41F1"/>
    <w:rsid w:val="008C5767"/>
    <w:rsid w:val="00903E91"/>
    <w:rsid w:val="00907F57"/>
    <w:rsid w:val="00910138"/>
    <w:rsid w:val="0092050E"/>
    <w:rsid w:val="00935F14"/>
    <w:rsid w:val="00942712"/>
    <w:rsid w:val="009512EA"/>
    <w:rsid w:val="009646C4"/>
    <w:rsid w:val="00976F3D"/>
    <w:rsid w:val="00982FF5"/>
    <w:rsid w:val="009901F5"/>
    <w:rsid w:val="009A2A00"/>
    <w:rsid w:val="009A3569"/>
    <w:rsid w:val="009A76A9"/>
    <w:rsid w:val="009B00C1"/>
    <w:rsid w:val="009B3AD2"/>
    <w:rsid w:val="009B6BF9"/>
    <w:rsid w:val="009D6377"/>
    <w:rsid w:val="009F2768"/>
    <w:rsid w:val="00A01910"/>
    <w:rsid w:val="00A020AE"/>
    <w:rsid w:val="00A11C07"/>
    <w:rsid w:val="00A145C1"/>
    <w:rsid w:val="00A22147"/>
    <w:rsid w:val="00A34593"/>
    <w:rsid w:val="00A710F2"/>
    <w:rsid w:val="00A739CC"/>
    <w:rsid w:val="00A76000"/>
    <w:rsid w:val="00A81109"/>
    <w:rsid w:val="00A859D0"/>
    <w:rsid w:val="00A93A7A"/>
    <w:rsid w:val="00A96AE2"/>
    <w:rsid w:val="00AA0B11"/>
    <w:rsid w:val="00AA37F6"/>
    <w:rsid w:val="00AA580B"/>
    <w:rsid w:val="00AC426A"/>
    <w:rsid w:val="00AC7A4C"/>
    <w:rsid w:val="00AC7CB5"/>
    <w:rsid w:val="00AD2105"/>
    <w:rsid w:val="00AD2D66"/>
    <w:rsid w:val="00B06E75"/>
    <w:rsid w:val="00B26D31"/>
    <w:rsid w:val="00B50D64"/>
    <w:rsid w:val="00B52299"/>
    <w:rsid w:val="00B553DE"/>
    <w:rsid w:val="00B621C9"/>
    <w:rsid w:val="00B672B4"/>
    <w:rsid w:val="00B76E86"/>
    <w:rsid w:val="00B8751B"/>
    <w:rsid w:val="00B91397"/>
    <w:rsid w:val="00B91C7F"/>
    <w:rsid w:val="00B94DF7"/>
    <w:rsid w:val="00BA332E"/>
    <w:rsid w:val="00BB1BBA"/>
    <w:rsid w:val="00BB4C96"/>
    <w:rsid w:val="00BC3421"/>
    <w:rsid w:val="00BC6CE7"/>
    <w:rsid w:val="00BD4E12"/>
    <w:rsid w:val="00BD5A5D"/>
    <w:rsid w:val="00BE016B"/>
    <w:rsid w:val="00BE0EAC"/>
    <w:rsid w:val="00BE6B6A"/>
    <w:rsid w:val="00BF4BD4"/>
    <w:rsid w:val="00C00EE2"/>
    <w:rsid w:val="00C111E4"/>
    <w:rsid w:val="00C1345C"/>
    <w:rsid w:val="00C14F7F"/>
    <w:rsid w:val="00C16381"/>
    <w:rsid w:val="00C2554E"/>
    <w:rsid w:val="00C63874"/>
    <w:rsid w:val="00C706F1"/>
    <w:rsid w:val="00C76CE3"/>
    <w:rsid w:val="00C805AD"/>
    <w:rsid w:val="00CA794D"/>
    <w:rsid w:val="00CB7941"/>
    <w:rsid w:val="00CB7B13"/>
    <w:rsid w:val="00CC321B"/>
    <w:rsid w:val="00CC44A1"/>
    <w:rsid w:val="00CE7568"/>
    <w:rsid w:val="00CF253D"/>
    <w:rsid w:val="00CF2937"/>
    <w:rsid w:val="00CF3D29"/>
    <w:rsid w:val="00CF599A"/>
    <w:rsid w:val="00D22E2D"/>
    <w:rsid w:val="00D351ED"/>
    <w:rsid w:val="00D54566"/>
    <w:rsid w:val="00D54AE1"/>
    <w:rsid w:val="00D81690"/>
    <w:rsid w:val="00D83029"/>
    <w:rsid w:val="00D909D8"/>
    <w:rsid w:val="00D90FED"/>
    <w:rsid w:val="00D94E4E"/>
    <w:rsid w:val="00D94E51"/>
    <w:rsid w:val="00DA160A"/>
    <w:rsid w:val="00DA482F"/>
    <w:rsid w:val="00DA4D69"/>
    <w:rsid w:val="00DB0671"/>
    <w:rsid w:val="00DB11A9"/>
    <w:rsid w:val="00DB7509"/>
    <w:rsid w:val="00DD2A5B"/>
    <w:rsid w:val="00DD5A37"/>
    <w:rsid w:val="00DE3320"/>
    <w:rsid w:val="00DE727E"/>
    <w:rsid w:val="00DF326E"/>
    <w:rsid w:val="00E05D8D"/>
    <w:rsid w:val="00E11ADE"/>
    <w:rsid w:val="00E14489"/>
    <w:rsid w:val="00E14823"/>
    <w:rsid w:val="00E15BBE"/>
    <w:rsid w:val="00E229C6"/>
    <w:rsid w:val="00E249F0"/>
    <w:rsid w:val="00E3468E"/>
    <w:rsid w:val="00E465D3"/>
    <w:rsid w:val="00E619AA"/>
    <w:rsid w:val="00E8182A"/>
    <w:rsid w:val="00E87BDC"/>
    <w:rsid w:val="00E967DA"/>
    <w:rsid w:val="00EA0564"/>
    <w:rsid w:val="00EA3529"/>
    <w:rsid w:val="00EB2B3D"/>
    <w:rsid w:val="00EB2DB8"/>
    <w:rsid w:val="00EB6AF0"/>
    <w:rsid w:val="00EC49A9"/>
    <w:rsid w:val="00EC66E4"/>
    <w:rsid w:val="00EC672E"/>
    <w:rsid w:val="00EE394A"/>
    <w:rsid w:val="00EF3C7B"/>
    <w:rsid w:val="00EF4805"/>
    <w:rsid w:val="00F00F57"/>
    <w:rsid w:val="00F01A89"/>
    <w:rsid w:val="00F052EE"/>
    <w:rsid w:val="00F22D8B"/>
    <w:rsid w:val="00F24DCA"/>
    <w:rsid w:val="00F35D7A"/>
    <w:rsid w:val="00F45321"/>
    <w:rsid w:val="00F4671A"/>
    <w:rsid w:val="00F47E7C"/>
    <w:rsid w:val="00F544A1"/>
    <w:rsid w:val="00F56EE0"/>
    <w:rsid w:val="00F72258"/>
    <w:rsid w:val="00F809F1"/>
    <w:rsid w:val="00F80CE3"/>
    <w:rsid w:val="00F8565D"/>
    <w:rsid w:val="00F92F6B"/>
    <w:rsid w:val="00FB22FF"/>
    <w:rsid w:val="00FB3980"/>
    <w:rsid w:val="00FC088A"/>
    <w:rsid w:val="00FC7895"/>
    <w:rsid w:val="00FE4347"/>
    <w:rsid w:val="00FE6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5">
    <w:name w:val="Akapit z listą5"/>
    <w:basedOn w:val="Normalny"/>
    <w:rsid w:val="00FB3980"/>
    <w:pPr>
      <w:spacing w:after="0" w:line="240" w:lineRule="auto"/>
      <w:ind w:left="720"/>
    </w:pPr>
    <w:rPr>
      <w:rFonts w:ascii="Times New Roman" w:eastAsia="Times New Roman" w:hAnsi="Times New Roman" w:cs="Times New Roman"/>
      <w:sz w:val="24"/>
      <w:szCs w:val="24"/>
      <w:lang w:eastAsia="pl-PL"/>
    </w:rPr>
  </w:style>
  <w:style w:type="paragraph" w:customStyle="1" w:styleId="Akapitzlist51">
    <w:name w:val="Akapit z listą51"/>
    <w:basedOn w:val="Normalny"/>
    <w:rsid w:val="00FB3980"/>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B3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980"/>
    <w:rPr>
      <w:rFonts w:ascii="Tahoma" w:hAnsi="Tahoma" w:cs="Tahoma"/>
      <w:sz w:val="16"/>
      <w:szCs w:val="16"/>
    </w:rPr>
  </w:style>
  <w:style w:type="paragraph" w:styleId="Akapitzlist">
    <w:name w:val="List Paragraph"/>
    <w:basedOn w:val="Normalny"/>
    <w:qFormat/>
    <w:rsid w:val="00344181"/>
    <w:pPr>
      <w:spacing w:after="0" w:line="240" w:lineRule="auto"/>
      <w:ind w:left="72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811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1109"/>
  </w:style>
  <w:style w:type="paragraph" w:styleId="Stopka">
    <w:name w:val="footer"/>
    <w:basedOn w:val="Normalny"/>
    <w:link w:val="StopkaZnak"/>
    <w:uiPriority w:val="99"/>
    <w:unhideWhenUsed/>
    <w:rsid w:val="00A811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109"/>
  </w:style>
  <w:style w:type="paragraph" w:styleId="Tekstprzypisukocowego">
    <w:name w:val="endnote text"/>
    <w:basedOn w:val="Normalny"/>
    <w:link w:val="TekstprzypisukocowegoZnak"/>
    <w:uiPriority w:val="99"/>
    <w:semiHidden/>
    <w:unhideWhenUsed/>
    <w:rsid w:val="009427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2712"/>
    <w:rPr>
      <w:sz w:val="20"/>
      <w:szCs w:val="20"/>
    </w:rPr>
  </w:style>
  <w:style w:type="character" w:styleId="Odwoanieprzypisukocowego">
    <w:name w:val="endnote reference"/>
    <w:basedOn w:val="Domylnaczcionkaakapitu"/>
    <w:uiPriority w:val="99"/>
    <w:semiHidden/>
    <w:unhideWhenUsed/>
    <w:rsid w:val="009427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5">
    <w:name w:val="Akapit z listą5"/>
    <w:basedOn w:val="Normalny"/>
    <w:rsid w:val="00FB3980"/>
    <w:pPr>
      <w:spacing w:after="0" w:line="240" w:lineRule="auto"/>
      <w:ind w:left="720"/>
    </w:pPr>
    <w:rPr>
      <w:rFonts w:ascii="Times New Roman" w:eastAsia="Times New Roman" w:hAnsi="Times New Roman" w:cs="Times New Roman"/>
      <w:sz w:val="24"/>
      <w:szCs w:val="24"/>
      <w:lang w:eastAsia="pl-PL"/>
    </w:rPr>
  </w:style>
  <w:style w:type="paragraph" w:customStyle="1" w:styleId="Akapitzlist51">
    <w:name w:val="Akapit z listą51"/>
    <w:basedOn w:val="Normalny"/>
    <w:rsid w:val="00FB3980"/>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B3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980"/>
    <w:rPr>
      <w:rFonts w:ascii="Tahoma" w:hAnsi="Tahoma" w:cs="Tahoma"/>
      <w:sz w:val="16"/>
      <w:szCs w:val="16"/>
    </w:rPr>
  </w:style>
  <w:style w:type="paragraph" w:styleId="Akapitzlist">
    <w:name w:val="List Paragraph"/>
    <w:basedOn w:val="Normalny"/>
    <w:qFormat/>
    <w:rsid w:val="00344181"/>
    <w:pPr>
      <w:spacing w:after="0" w:line="240" w:lineRule="auto"/>
      <w:ind w:left="72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A811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1109"/>
  </w:style>
  <w:style w:type="paragraph" w:styleId="Stopka">
    <w:name w:val="footer"/>
    <w:basedOn w:val="Normalny"/>
    <w:link w:val="StopkaZnak"/>
    <w:uiPriority w:val="99"/>
    <w:unhideWhenUsed/>
    <w:rsid w:val="00A811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109"/>
  </w:style>
  <w:style w:type="paragraph" w:styleId="Tekstprzypisukocowego">
    <w:name w:val="endnote text"/>
    <w:basedOn w:val="Normalny"/>
    <w:link w:val="TekstprzypisukocowegoZnak"/>
    <w:uiPriority w:val="99"/>
    <w:semiHidden/>
    <w:unhideWhenUsed/>
    <w:rsid w:val="009427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2712"/>
    <w:rPr>
      <w:sz w:val="20"/>
      <w:szCs w:val="20"/>
    </w:rPr>
  </w:style>
  <w:style w:type="character" w:styleId="Odwoanieprzypisukocowego">
    <w:name w:val="endnote reference"/>
    <w:basedOn w:val="Domylnaczcionkaakapitu"/>
    <w:uiPriority w:val="99"/>
    <w:semiHidden/>
    <w:unhideWhenUsed/>
    <w:rsid w:val="00942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2C0B8-E228-4535-8ABC-CFB4F48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1651</Words>
  <Characters>9907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Joanna Surowiec</cp:lastModifiedBy>
  <cp:revision>13</cp:revision>
  <dcterms:created xsi:type="dcterms:W3CDTF">2015-01-12T12:26:00Z</dcterms:created>
  <dcterms:modified xsi:type="dcterms:W3CDTF">2015-02-16T11:02:00Z</dcterms:modified>
</cp:coreProperties>
</file>