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6991" w:rsidRDefault="00516991" w:rsidP="00CC131B">
      <w:pPr>
        <w:spacing w:after="0" w:line="360" w:lineRule="auto"/>
        <w:jc w:val="both"/>
        <w:rPr>
          <w:rFonts w:ascii="Times New Roman" w:hAnsi="Times New Roman"/>
          <w:sz w:val="28"/>
          <w:szCs w:val="28"/>
        </w:rPr>
      </w:pPr>
      <w:r>
        <w:rPr>
          <w:rFonts w:ascii="Times New Roman" w:hAnsi="Times New Roman"/>
          <w:sz w:val="28"/>
          <w:szCs w:val="28"/>
        </w:rPr>
        <w:t>Prof. zw. dr hab. Paweł Czechowski</w:t>
      </w:r>
    </w:p>
    <w:tbl>
      <w:tblPr>
        <w:tblW w:w="8985" w:type="dxa"/>
        <w:tblInd w:w="-3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2127"/>
        <w:gridCol w:w="1277"/>
        <w:gridCol w:w="2411"/>
        <w:gridCol w:w="1844"/>
        <w:gridCol w:w="1326"/>
      </w:tblGrid>
      <w:tr w:rsidR="003000AA" w:rsidTr="003000AA">
        <w:trPr>
          <w:trHeight w:val="1162"/>
        </w:trPr>
        <w:tc>
          <w:tcPr>
            <w:tcW w:w="2127" w:type="dxa"/>
            <w:tcBorders>
              <w:top w:val="single" w:sz="4" w:space="0" w:color="FFFFFF"/>
              <w:left w:val="single" w:sz="4" w:space="0" w:color="FFFFFF"/>
              <w:bottom w:val="single" w:sz="4" w:space="0" w:color="FFFFFF"/>
              <w:right w:val="single" w:sz="4" w:space="0" w:color="FFFFFF"/>
            </w:tcBorders>
            <w:vAlign w:val="center"/>
            <w:hideMark/>
          </w:tcPr>
          <w:p w:rsidR="003000AA" w:rsidRDefault="003000AA">
            <w:pPr>
              <w:pStyle w:val="Akapitzlist1"/>
              <w:tabs>
                <w:tab w:val="left" w:pos="1860"/>
              </w:tabs>
              <w:spacing w:after="120" w:line="480" w:lineRule="auto"/>
              <w:ind w:left="0"/>
              <w:jc w:val="both"/>
            </w:pPr>
            <w:r>
              <w:rPr>
                <w:noProof/>
                <w:lang w:eastAsia="pl-PL"/>
              </w:rPr>
              <w:drawing>
                <wp:inline distT="0" distB="0" distL="0" distR="0">
                  <wp:extent cx="1476375" cy="638175"/>
                  <wp:effectExtent l="19050" t="0" r="9525" b="0"/>
                  <wp:docPr id="1" name="Obraz 1" descr="loga_UE_wiekszy_czar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a_UE_wiekszy_czarny"/>
                          <pic:cNvPicPr>
                            <a:picLocks noChangeAspect="1" noChangeArrowheads="1"/>
                          </pic:cNvPicPr>
                        </pic:nvPicPr>
                        <pic:blipFill>
                          <a:blip r:embed="rId7"/>
                          <a:srcRect/>
                          <a:stretch>
                            <a:fillRect/>
                          </a:stretch>
                        </pic:blipFill>
                        <pic:spPr bwMode="auto">
                          <a:xfrm>
                            <a:off x="0" y="0"/>
                            <a:ext cx="1476375" cy="638175"/>
                          </a:xfrm>
                          <a:prstGeom prst="rect">
                            <a:avLst/>
                          </a:prstGeom>
                          <a:noFill/>
                          <a:ln w="9525">
                            <a:noFill/>
                            <a:miter lim="800000"/>
                            <a:headEnd/>
                            <a:tailEnd/>
                          </a:ln>
                        </pic:spPr>
                      </pic:pic>
                    </a:graphicData>
                  </a:graphic>
                </wp:inline>
              </w:drawing>
            </w:r>
          </w:p>
        </w:tc>
        <w:tc>
          <w:tcPr>
            <w:tcW w:w="1276" w:type="dxa"/>
            <w:tcBorders>
              <w:top w:val="single" w:sz="4" w:space="0" w:color="FFFFFF"/>
              <w:left w:val="single" w:sz="4" w:space="0" w:color="FFFFFF"/>
              <w:bottom w:val="single" w:sz="4" w:space="0" w:color="FFFFFF"/>
              <w:right w:val="single" w:sz="4" w:space="0" w:color="FFFFFF"/>
            </w:tcBorders>
            <w:vAlign w:val="center"/>
            <w:hideMark/>
          </w:tcPr>
          <w:p w:rsidR="003000AA" w:rsidRDefault="003000AA">
            <w:pPr>
              <w:pStyle w:val="Akapitzlist1"/>
              <w:tabs>
                <w:tab w:val="left" w:pos="1860"/>
              </w:tabs>
              <w:spacing w:after="120" w:line="480" w:lineRule="auto"/>
              <w:ind w:left="0"/>
              <w:jc w:val="both"/>
            </w:pPr>
            <w:r>
              <w:rPr>
                <w:b/>
                <w:noProof/>
                <w:lang w:eastAsia="pl-PL"/>
              </w:rPr>
              <w:drawing>
                <wp:inline distT="0" distB="0" distL="0" distR="0">
                  <wp:extent cx="533400" cy="533400"/>
                  <wp:effectExtent l="19050" t="0" r="0" b="0"/>
                  <wp:docPr id="2" name="Obraz 2" descr="http://ksow.gov.pl/uploads/media/logo_Min.Rolnict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sow.gov.pl/uploads/media/logo_Min.Rolnictwa.jpg"/>
                          <pic:cNvPicPr>
                            <a:picLocks noChangeAspect="1" noChangeArrowheads="1"/>
                          </pic:cNvPicPr>
                        </pic:nvPicPr>
                        <pic:blipFill>
                          <a:blip r:embed="rId8"/>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2410" w:type="dxa"/>
            <w:tcBorders>
              <w:top w:val="single" w:sz="4" w:space="0" w:color="FFFFFF"/>
              <w:left w:val="single" w:sz="4" w:space="0" w:color="FFFFFF"/>
              <w:bottom w:val="single" w:sz="4" w:space="0" w:color="FFFFFF"/>
              <w:right w:val="single" w:sz="4" w:space="0" w:color="FFFFFF"/>
            </w:tcBorders>
            <w:vAlign w:val="center"/>
            <w:hideMark/>
          </w:tcPr>
          <w:p w:rsidR="003000AA" w:rsidRDefault="003000AA">
            <w:pPr>
              <w:pStyle w:val="Akapitzlist1"/>
              <w:tabs>
                <w:tab w:val="left" w:pos="1860"/>
              </w:tabs>
              <w:spacing w:after="120" w:line="480" w:lineRule="auto"/>
              <w:ind w:left="0"/>
              <w:jc w:val="both"/>
            </w:pPr>
            <w:r>
              <w:rPr>
                <w:noProof/>
                <w:lang w:eastAsia="pl-PL"/>
              </w:rPr>
              <w:drawing>
                <wp:inline distT="0" distB="0" distL="0" distR="0">
                  <wp:extent cx="1333500" cy="590550"/>
                  <wp:effectExtent l="19050" t="0" r="0" b="0"/>
                  <wp:docPr id="3" name="Obraz 2" descr="KSOW_tekst_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KSOW_tekst_transparent"/>
                          <pic:cNvPicPr>
                            <a:picLocks noChangeAspect="1" noChangeArrowheads="1"/>
                          </pic:cNvPicPr>
                        </pic:nvPicPr>
                        <pic:blipFill>
                          <a:blip r:embed="rId9"/>
                          <a:srcRect/>
                          <a:stretch>
                            <a:fillRect/>
                          </a:stretch>
                        </pic:blipFill>
                        <pic:spPr bwMode="auto">
                          <a:xfrm>
                            <a:off x="0" y="0"/>
                            <a:ext cx="1333500" cy="590550"/>
                          </a:xfrm>
                          <a:prstGeom prst="rect">
                            <a:avLst/>
                          </a:prstGeom>
                          <a:noFill/>
                          <a:ln w="9525">
                            <a:noFill/>
                            <a:miter lim="800000"/>
                            <a:headEnd/>
                            <a:tailEnd/>
                          </a:ln>
                        </pic:spPr>
                      </pic:pic>
                    </a:graphicData>
                  </a:graphic>
                </wp:inline>
              </w:drawing>
            </w:r>
          </w:p>
        </w:tc>
        <w:tc>
          <w:tcPr>
            <w:tcW w:w="1843" w:type="dxa"/>
            <w:tcBorders>
              <w:top w:val="single" w:sz="4" w:space="0" w:color="FFFFFF"/>
              <w:left w:val="single" w:sz="4" w:space="0" w:color="FFFFFF"/>
              <w:bottom w:val="single" w:sz="4" w:space="0" w:color="FFFFFF"/>
              <w:right w:val="single" w:sz="4" w:space="0" w:color="FFFFFF"/>
            </w:tcBorders>
            <w:vAlign w:val="center"/>
            <w:hideMark/>
          </w:tcPr>
          <w:p w:rsidR="003000AA" w:rsidRDefault="003000AA">
            <w:pPr>
              <w:pStyle w:val="Akapitzlist1"/>
              <w:tabs>
                <w:tab w:val="left" w:pos="1860"/>
              </w:tabs>
              <w:spacing w:after="120" w:line="480" w:lineRule="auto"/>
              <w:ind w:left="0"/>
              <w:jc w:val="both"/>
            </w:pPr>
            <w:r>
              <w:rPr>
                <w:noProof/>
                <w:lang w:eastAsia="pl-PL"/>
              </w:rPr>
              <w:drawing>
                <wp:inline distT="0" distB="0" distL="0" distR="0">
                  <wp:extent cx="971550" cy="466725"/>
                  <wp:effectExtent l="1905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0"/>
                          <a:srcRect/>
                          <a:stretch>
                            <a:fillRect/>
                          </a:stretch>
                        </pic:blipFill>
                        <pic:spPr bwMode="auto">
                          <a:xfrm>
                            <a:off x="0" y="0"/>
                            <a:ext cx="971550" cy="466725"/>
                          </a:xfrm>
                          <a:prstGeom prst="rect">
                            <a:avLst/>
                          </a:prstGeom>
                          <a:noFill/>
                          <a:ln w="9525">
                            <a:noFill/>
                            <a:miter lim="800000"/>
                            <a:headEnd/>
                            <a:tailEnd/>
                          </a:ln>
                        </pic:spPr>
                      </pic:pic>
                    </a:graphicData>
                  </a:graphic>
                </wp:inline>
              </w:drawing>
            </w:r>
          </w:p>
        </w:tc>
        <w:tc>
          <w:tcPr>
            <w:tcW w:w="1325" w:type="dxa"/>
            <w:tcBorders>
              <w:top w:val="single" w:sz="4" w:space="0" w:color="FFFFFF"/>
              <w:left w:val="single" w:sz="4" w:space="0" w:color="FFFFFF"/>
              <w:bottom w:val="single" w:sz="4" w:space="0" w:color="FFFFFF"/>
              <w:right w:val="single" w:sz="4" w:space="0" w:color="FFFFFF"/>
            </w:tcBorders>
            <w:vAlign w:val="center"/>
            <w:hideMark/>
          </w:tcPr>
          <w:p w:rsidR="003000AA" w:rsidRDefault="003000AA">
            <w:pPr>
              <w:pStyle w:val="Akapitzlist1"/>
              <w:tabs>
                <w:tab w:val="left" w:pos="1860"/>
              </w:tabs>
              <w:spacing w:after="120" w:line="480" w:lineRule="auto"/>
              <w:ind w:left="0"/>
              <w:jc w:val="both"/>
            </w:pPr>
            <w:r>
              <w:rPr>
                <w:noProof/>
                <w:lang w:eastAsia="pl-PL"/>
              </w:rPr>
              <w:drawing>
                <wp:anchor distT="0" distB="0" distL="114300" distR="114300" simplePos="0" relativeHeight="251658240" behindDoc="0" locked="0" layoutInCell="1" allowOverlap="1">
                  <wp:simplePos x="0" y="0"/>
                  <wp:positionH relativeFrom="column">
                    <wp:posOffset>92710</wp:posOffset>
                  </wp:positionH>
                  <wp:positionV relativeFrom="paragraph">
                    <wp:posOffset>55245</wp:posOffset>
                  </wp:positionV>
                  <wp:extent cx="927735" cy="515620"/>
                  <wp:effectExtent l="19050" t="0" r="5715" b="0"/>
                  <wp:wrapNone/>
                  <wp:docPr id="5" name="Obraz 5" descr="logo PROW 2007-2013 z tłem mniejs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logo PROW 2007-2013 z tłem mniejsze"/>
                          <pic:cNvPicPr>
                            <a:picLocks noChangeAspect="1" noChangeArrowheads="1"/>
                          </pic:cNvPicPr>
                        </pic:nvPicPr>
                        <pic:blipFill>
                          <a:blip r:embed="rId11"/>
                          <a:srcRect/>
                          <a:stretch>
                            <a:fillRect/>
                          </a:stretch>
                        </pic:blipFill>
                        <pic:spPr bwMode="auto">
                          <a:xfrm>
                            <a:off x="0" y="0"/>
                            <a:ext cx="927735" cy="515620"/>
                          </a:xfrm>
                          <a:prstGeom prst="rect">
                            <a:avLst/>
                          </a:prstGeom>
                          <a:noFill/>
                        </pic:spPr>
                      </pic:pic>
                    </a:graphicData>
                  </a:graphic>
                </wp:anchor>
              </w:drawing>
            </w:r>
          </w:p>
        </w:tc>
      </w:tr>
    </w:tbl>
    <w:p w:rsidR="003000AA" w:rsidRDefault="003000AA" w:rsidP="003000AA">
      <w:pPr>
        <w:pStyle w:val="Akapitzlist51"/>
        <w:tabs>
          <w:tab w:val="left" w:pos="1860"/>
        </w:tabs>
        <w:ind w:left="0"/>
        <w:jc w:val="center"/>
        <w:rPr>
          <w:sz w:val="16"/>
          <w:szCs w:val="16"/>
        </w:rPr>
      </w:pPr>
      <w:r>
        <w:rPr>
          <w:sz w:val="16"/>
          <w:szCs w:val="16"/>
        </w:rPr>
        <w:t>Projekt realizowany w ramach Planu działania Sekretariatu Centralnego Krajowej Sieci Obszarów Wiejskich na lata 2014 – 2015.</w:t>
      </w:r>
    </w:p>
    <w:p w:rsidR="003000AA" w:rsidRDefault="003000AA" w:rsidP="003000AA">
      <w:pPr>
        <w:pStyle w:val="Akapitzlist51"/>
        <w:tabs>
          <w:tab w:val="left" w:pos="1860"/>
        </w:tabs>
        <w:ind w:left="0"/>
        <w:jc w:val="center"/>
        <w:rPr>
          <w:sz w:val="16"/>
          <w:szCs w:val="16"/>
        </w:rPr>
      </w:pPr>
      <w:r>
        <w:rPr>
          <w:sz w:val="16"/>
          <w:szCs w:val="16"/>
        </w:rPr>
        <w:t>„Europejski Fundusz Rolny na rzecz Rozwoju Obszarów Wiejskich: Europa inwestująca w obszary wiejskie.”</w:t>
      </w:r>
    </w:p>
    <w:p w:rsidR="003000AA" w:rsidRDefault="003000AA" w:rsidP="003000AA">
      <w:pPr>
        <w:pStyle w:val="Akapitzlist51"/>
        <w:tabs>
          <w:tab w:val="left" w:pos="1860"/>
        </w:tabs>
        <w:ind w:left="0"/>
        <w:jc w:val="center"/>
        <w:rPr>
          <w:sz w:val="16"/>
          <w:szCs w:val="16"/>
        </w:rPr>
      </w:pPr>
      <w:r>
        <w:rPr>
          <w:sz w:val="16"/>
          <w:szCs w:val="16"/>
        </w:rPr>
        <w:t>Projekt opracowany przez Szkołę Główną Gospodarstwa Wiejskiego w Warszawie</w:t>
      </w:r>
    </w:p>
    <w:p w:rsidR="003000AA" w:rsidRDefault="003000AA" w:rsidP="003000AA">
      <w:pPr>
        <w:pStyle w:val="Akapitzlist51"/>
        <w:tabs>
          <w:tab w:val="left" w:pos="1860"/>
        </w:tabs>
        <w:ind w:left="0"/>
        <w:jc w:val="center"/>
        <w:rPr>
          <w:sz w:val="16"/>
          <w:szCs w:val="16"/>
        </w:rPr>
      </w:pPr>
      <w:r>
        <w:rPr>
          <w:sz w:val="16"/>
          <w:szCs w:val="16"/>
        </w:rPr>
        <w:t>Projekt współfinansowany ze środków Unii Europejskiej w ramach Pomocy Technicznej Programu Rozwoju Obszarów Wiejskich na lata 2007-2013</w:t>
      </w:r>
    </w:p>
    <w:p w:rsidR="003000AA" w:rsidRDefault="003000AA" w:rsidP="003000AA">
      <w:pPr>
        <w:jc w:val="center"/>
        <w:rPr>
          <w:rFonts w:ascii="Times New Roman" w:hAnsi="Times New Roman"/>
          <w:sz w:val="16"/>
          <w:szCs w:val="16"/>
        </w:rPr>
      </w:pPr>
      <w:r>
        <w:rPr>
          <w:rFonts w:ascii="Times New Roman" w:hAnsi="Times New Roman"/>
          <w:sz w:val="16"/>
          <w:szCs w:val="16"/>
        </w:rPr>
        <w:t>Instytucja Zarządzająca Programem Rozwoju Obszarów Wiejskich  na lata 2007-2013 -</w:t>
      </w:r>
      <w:r>
        <w:rPr>
          <w:rFonts w:ascii="Times New Roman" w:hAnsi="Times New Roman"/>
          <w:sz w:val="16"/>
          <w:szCs w:val="16"/>
        </w:rPr>
        <w:br/>
        <w:t>Minister Rolnictwa i Rozwoju Wsi</w:t>
      </w:r>
    </w:p>
    <w:p w:rsidR="00516991" w:rsidRDefault="00516991" w:rsidP="00CC131B">
      <w:pPr>
        <w:spacing w:after="0" w:line="360" w:lineRule="auto"/>
        <w:jc w:val="both"/>
        <w:rPr>
          <w:rFonts w:ascii="Times New Roman" w:hAnsi="Times New Roman"/>
          <w:sz w:val="28"/>
          <w:szCs w:val="28"/>
        </w:rPr>
      </w:pPr>
    </w:p>
    <w:p w:rsidR="00516991" w:rsidRPr="00326918" w:rsidRDefault="00516991" w:rsidP="00326918">
      <w:pPr>
        <w:spacing w:after="0" w:line="360" w:lineRule="auto"/>
        <w:jc w:val="center"/>
        <w:rPr>
          <w:rFonts w:ascii="Times New Roman" w:hAnsi="Times New Roman"/>
          <w:b/>
          <w:sz w:val="28"/>
          <w:szCs w:val="28"/>
        </w:rPr>
      </w:pPr>
      <w:r w:rsidRPr="00326918">
        <w:rPr>
          <w:rFonts w:ascii="Times New Roman" w:hAnsi="Times New Roman"/>
          <w:b/>
          <w:sz w:val="28"/>
          <w:szCs w:val="28"/>
        </w:rPr>
        <w:t>Modele prawne kształtujące gospodarstwo rolne</w:t>
      </w:r>
    </w:p>
    <w:p w:rsidR="00516991" w:rsidRDefault="00516991" w:rsidP="00CC131B">
      <w:pPr>
        <w:spacing w:after="0" w:line="360" w:lineRule="auto"/>
        <w:jc w:val="both"/>
        <w:rPr>
          <w:rFonts w:ascii="Times New Roman" w:hAnsi="Times New Roman"/>
          <w:sz w:val="28"/>
          <w:szCs w:val="28"/>
        </w:rPr>
      </w:pPr>
    </w:p>
    <w:p w:rsidR="00516991" w:rsidRPr="00326918" w:rsidRDefault="00516991" w:rsidP="00326918">
      <w:pPr>
        <w:spacing w:after="0" w:line="360" w:lineRule="auto"/>
        <w:jc w:val="both"/>
        <w:rPr>
          <w:rFonts w:ascii="Times New Roman" w:hAnsi="Times New Roman"/>
          <w:sz w:val="28"/>
          <w:szCs w:val="28"/>
        </w:rPr>
      </w:pPr>
      <w:r>
        <w:rPr>
          <w:rFonts w:ascii="Times New Roman" w:hAnsi="Times New Roman"/>
          <w:b/>
          <w:sz w:val="28"/>
          <w:szCs w:val="28"/>
        </w:rPr>
        <w:t xml:space="preserve">1. </w:t>
      </w:r>
      <w:r w:rsidRPr="00326918">
        <w:rPr>
          <w:rFonts w:ascii="Times New Roman" w:hAnsi="Times New Roman"/>
          <w:b/>
          <w:sz w:val="28"/>
          <w:szCs w:val="28"/>
        </w:rPr>
        <w:t>Wprowadzenie.</w:t>
      </w:r>
    </w:p>
    <w:p w:rsidR="00516991" w:rsidRDefault="00516991" w:rsidP="00326918">
      <w:pPr>
        <w:spacing w:after="0" w:line="360" w:lineRule="auto"/>
        <w:jc w:val="both"/>
        <w:rPr>
          <w:rFonts w:ascii="Times New Roman" w:hAnsi="Times New Roman"/>
          <w:sz w:val="28"/>
          <w:szCs w:val="28"/>
        </w:rPr>
      </w:pPr>
      <w:r>
        <w:rPr>
          <w:rFonts w:ascii="Times New Roman" w:hAnsi="Times New Roman"/>
          <w:sz w:val="28"/>
          <w:szCs w:val="28"/>
        </w:rPr>
        <w:tab/>
        <w:t>Zarówno w czasach starożytnych jak i nowożytnych prawo stanowiło mechanizm oddziaływania polityki na stosunki agrarne. Przedmiotem oddziaływania były czynniki produkcji - gospodarowania w rolnictwie takie jak: ziemia, praca, kapitał i organizacja</w:t>
      </w:r>
      <w:r>
        <w:rPr>
          <w:rStyle w:val="Odwoanieprzypisudolnego"/>
          <w:rFonts w:ascii="Times New Roman" w:hAnsi="Times New Roman"/>
          <w:sz w:val="28"/>
          <w:szCs w:val="28"/>
        </w:rPr>
        <w:footnoteReference w:id="1"/>
      </w:r>
      <w:r>
        <w:rPr>
          <w:rFonts w:ascii="Times New Roman" w:hAnsi="Times New Roman"/>
          <w:sz w:val="28"/>
          <w:szCs w:val="28"/>
        </w:rPr>
        <w:t>. W zależności od typów i form organizacji państwowej oddziaływanie to dotyczyło wybranych lub też wszystkich czynników gospodarowania zaznaczyć należy, że intensywność tego odziaływania w różnych systemach ekonomiczno-społecznych</w:t>
      </w:r>
      <w:r w:rsidR="00E30BB8">
        <w:rPr>
          <w:rFonts w:ascii="Times New Roman" w:hAnsi="Times New Roman"/>
          <w:sz w:val="28"/>
          <w:szCs w:val="28"/>
        </w:rPr>
        <w:t xml:space="preserve"> było zróżnicowane</w:t>
      </w:r>
      <w:r>
        <w:rPr>
          <w:rFonts w:ascii="Times New Roman" w:hAnsi="Times New Roman"/>
          <w:sz w:val="28"/>
          <w:szCs w:val="28"/>
        </w:rPr>
        <w:t xml:space="preserve">. Niewątpliwie oddziaływanie państwa na czynnik ziemi i pracy przeważał w państwach antycznych i feudalnych. Wraz z rozwojem państw nowożytnych pod wpływem rewolucji przemysłowej i rozwojem pierwotnego kapitalizmu zwiększyło się oddziaływanie na czynnik pracy. Potrzeba zapewnienia siły roboczej opartej o system pracy najemnej dla rodzącego się przemysłu oraz dużych gospodarstw rolno-przemysłowych utorowała drogę procesom zniesienia pańszczyzny i uwłaszczenia chłopów w Europie w 19 w. W płaszczyźnie polityczno-prawnej związane było to z uzyskaniem przez nich statusu pełnego upodmiotowienia w sensie ekonomicznym oraz praw </w:t>
      </w:r>
      <w:r>
        <w:rPr>
          <w:rFonts w:ascii="Times New Roman" w:hAnsi="Times New Roman"/>
          <w:sz w:val="28"/>
          <w:szCs w:val="28"/>
        </w:rPr>
        <w:lastRenderedPageBreak/>
        <w:t xml:space="preserve">obywatelskich. Dowodu na to dostarcza tzw. </w:t>
      </w:r>
      <w:r>
        <w:rPr>
          <w:rFonts w:ascii="Times New Roman" w:hAnsi="Times New Roman"/>
          <w:i/>
          <w:sz w:val="28"/>
          <w:szCs w:val="28"/>
        </w:rPr>
        <w:t>„p</w:t>
      </w:r>
      <w:r w:rsidR="00E30BB8">
        <w:rPr>
          <w:rFonts w:ascii="Times New Roman" w:hAnsi="Times New Roman"/>
          <w:i/>
          <w:sz w:val="28"/>
          <w:szCs w:val="28"/>
        </w:rPr>
        <w:t xml:space="preserve">ruska </w:t>
      </w:r>
      <w:r>
        <w:rPr>
          <w:rFonts w:ascii="Times New Roman" w:hAnsi="Times New Roman"/>
          <w:i/>
          <w:sz w:val="28"/>
          <w:szCs w:val="28"/>
        </w:rPr>
        <w:t>droga do kapitalizmu”</w:t>
      </w:r>
      <w:r>
        <w:rPr>
          <w:rFonts w:ascii="Times New Roman" w:hAnsi="Times New Roman"/>
          <w:sz w:val="28"/>
          <w:szCs w:val="28"/>
        </w:rPr>
        <w:t xml:space="preserve"> która w płaszczyźnie agrarnej wyrażała się przyjęciem regulacji prawnych zmierzających do utrzymania dużych gospodarstw rolnych przy ograniczeniu podziału gospodarstwa rolnego w naturze wraz z przyznawaniem gospodarstwa rolnego jedynemu spadkobiercy i ograniczeniu praw i innych współspadkobierców, którzy mieli stanowić rezerwuar siły roboczej dla rodzącego się kapitalizmu</w:t>
      </w:r>
      <w:r>
        <w:rPr>
          <w:rStyle w:val="Odwoanieprzypisudolnego"/>
          <w:rFonts w:ascii="Times New Roman" w:hAnsi="Times New Roman"/>
          <w:sz w:val="28"/>
          <w:szCs w:val="28"/>
        </w:rPr>
        <w:footnoteReference w:id="2"/>
      </w:r>
      <w:r>
        <w:rPr>
          <w:rFonts w:ascii="Times New Roman" w:hAnsi="Times New Roman"/>
          <w:sz w:val="28"/>
          <w:szCs w:val="28"/>
        </w:rPr>
        <w:t>.</w:t>
      </w:r>
    </w:p>
    <w:p w:rsidR="00516991" w:rsidRDefault="00516991" w:rsidP="00326918">
      <w:pPr>
        <w:spacing w:after="0" w:line="360" w:lineRule="auto"/>
        <w:jc w:val="both"/>
        <w:rPr>
          <w:rFonts w:ascii="Times New Roman" w:hAnsi="Times New Roman"/>
          <w:sz w:val="28"/>
          <w:szCs w:val="28"/>
        </w:rPr>
      </w:pPr>
      <w:r>
        <w:rPr>
          <w:rFonts w:ascii="Times New Roman" w:hAnsi="Times New Roman"/>
          <w:sz w:val="28"/>
          <w:szCs w:val="28"/>
        </w:rPr>
        <w:t>Towarzysząca procesowi rozwoju wczesnego kapitalizmu doktryna liberalna promująca w sferze gospodarczej reguły „wolnej gry sił rynkowych” zweryfikowana została na skutek wystąpienia załamania światowej koniunktury gospodarczej pod koniec 19 i na początku 20 wieku przeplatanej krótkoterminowymi wzrostami koniunktury gospodarczej. Nadchodzący gospodarczy kryzys światowy spowodował zrewidowanie doktryny liberalnej uzasadniającej racjonalność kapitalistycznego systemu produkcji w ramach generalnego mechanizmu jaką miała być „niewidzialna ręka rynku”</w:t>
      </w:r>
      <w:r>
        <w:rPr>
          <w:rStyle w:val="Odwoanieprzypisudolnego"/>
          <w:rFonts w:ascii="Times New Roman" w:hAnsi="Times New Roman"/>
          <w:sz w:val="28"/>
          <w:szCs w:val="28"/>
        </w:rPr>
        <w:footnoteReference w:id="3"/>
      </w:r>
      <w:r>
        <w:rPr>
          <w:rFonts w:ascii="Times New Roman" w:hAnsi="Times New Roman"/>
          <w:sz w:val="28"/>
          <w:szCs w:val="28"/>
        </w:rPr>
        <w:t>.</w:t>
      </w:r>
    </w:p>
    <w:p w:rsidR="00516991" w:rsidRDefault="00516991" w:rsidP="00326918">
      <w:pPr>
        <w:spacing w:after="0" w:line="360" w:lineRule="auto"/>
        <w:jc w:val="both"/>
        <w:rPr>
          <w:rFonts w:ascii="Times New Roman" w:hAnsi="Times New Roman"/>
          <w:sz w:val="28"/>
          <w:szCs w:val="28"/>
        </w:rPr>
      </w:pPr>
      <w:r>
        <w:rPr>
          <w:rFonts w:ascii="Times New Roman" w:hAnsi="Times New Roman"/>
          <w:sz w:val="28"/>
          <w:szCs w:val="28"/>
        </w:rPr>
        <w:t>Negatywny wpływ światowego kryzysu gospodarczego, który objął również rolnictwo, a którego apogeum wystąpiło w latach 1929-1933, skłoniło wiele krajów do poszukiwania rozwiązań antykryzysowych co w efekcie utorowało drogę doktrynom oddziaływania na gospodarkę w skali makroekonomicznej. Światowy kryzys gospodarczy ujawnił, że rozwój gospodarczy nie ma charakteru stałego lecz jest rozwojem cyklicznym na przemian z występującymi kryzysami gospodarczymi w ramach tzw. „cykli koniunkturalnych”</w:t>
      </w:r>
      <w:r>
        <w:rPr>
          <w:rStyle w:val="Odwoanieprzypisudolnego"/>
          <w:rFonts w:ascii="Times New Roman" w:hAnsi="Times New Roman"/>
          <w:sz w:val="28"/>
          <w:szCs w:val="28"/>
        </w:rPr>
        <w:footnoteReference w:id="4"/>
      </w:r>
      <w:r>
        <w:rPr>
          <w:rFonts w:ascii="Times New Roman" w:hAnsi="Times New Roman"/>
          <w:sz w:val="28"/>
          <w:szCs w:val="28"/>
        </w:rPr>
        <w:t>.</w:t>
      </w:r>
    </w:p>
    <w:p w:rsidR="00516991" w:rsidRDefault="00516991" w:rsidP="00326918">
      <w:pPr>
        <w:spacing w:after="0" w:line="360" w:lineRule="auto"/>
        <w:jc w:val="both"/>
        <w:rPr>
          <w:rFonts w:ascii="Times New Roman" w:hAnsi="Times New Roman"/>
          <w:sz w:val="28"/>
          <w:szCs w:val="28"/>
        </w:rPr>
      </w:pPr>
    </w:p>
    <w:p w:rsidR="00516991" w:rsidRPr="000A394B" w:rsidRDefault="00516991" w:rsidP="00326918">
      <w:pPr>
        <w:spacing w:after="0" w:line="360" w:lineRule="auto"/>
        <w:jc w:val="both"/>
        <w:rPr>
          <w:rFonts w:ascii="Times New Roman" w:hAnsi="Times New Roman"/>
          <w:b/>
          <w:sz w:val="28"/>
          <w:szCs w:val="28"/>
        </w:rPr>
      </w:pPr>
      <w:r w:rsidRPr="000A394B">
        <w:rPr>
          <w:rFonts w:ascii="Times New Roman" w:hAnsi="Times New Roman"/>
          <w:b/>
          <w:sz w:val="28"/>
          <w:szCs w:val="28"/>
        </w:rPr>
        <w:t>2. Kształtowanie gospodarstw rolnych w ramach interwencjonizmu amerykańskiego.</w:t>
      </w:r>
    </w:p>
    <w:p w:rsidR="00516991" w:rsidRDefault="00516991" w:rsidP="00326918">
      <w:pPr>
        <w:spacing w:after="0" w:line="360" w:lineRule="auto"/>
        <w:jc w:val="both"/>
        <w:rPr>
          <w:rFonts w:ascii="Times New Roman" w:hAnsi="Times New Roman"/>
          <w:sz w:val="28"/>
          <w:szCs w:val="28"/>
        </w:rPr>
      </w:pPr>
      <w:r>
        <w:rPr>
          <w:rFonts w:ascii="Times New Roman" w:hAnsi="Times New Roman"/>
          <w:sz w:val="28"/>
          <w:szCs w:val="28"/>
        </w:rPr>
        <w:lastRenderedPageBreak/>
        <w:t xml:space="preserve">Światowy kryzys gospodarczy w sposób najbardziej aktywny zwalczały Stany Zjednoczone Ameryki Północnej. </w:t>
      </w:r>
    </w:p>
    <w:p w:rsidR="00516991" w:rsidRDefault="00516991" w:rsidP="00326918">
      <w:pPr>
        <w:spacing w:after="0" w:line="360" w:lineRule="auto"/>
        <w:jc w:val="both"/>
        <w:rPr>
          <w:rFonts w:ascii="Times New Roman" w:hAnsi="Times New Roman"/>
          <w:sz w:val="28"/>
          <w:szCs w:val="28"/>
        </w:rPr>
      </w:pPr>
      <w:r>
        <w:rPr>
          <w:rFonts w:ascii="Times New Roman" w:hAnsi="Times New Roman"/>
          <w:sz w:val="28"/>
          <w:szCs w:val="28"/>
        </w:rPr>
        <w:t xml:space="preserve">Stały się one w tym zakresie wzorcem aktywnego oddziaływania państwa na gospodarkę w tym w szczególności na rolnictwo. </w:t>
      </w:r>
    </w:p>
    <w:p w:rsidR="00516991" w:rsidRDefault="00516991" w:rsidP="00326918">
      <w:pPr>
        <w:spacing w:after="0" w:line="360" w:lineRule="auto"/>
        <w:jc w:val="both"/>
        <w:rPr>
          <w:rFonts w:ascii="Times New Roman" w:hAnsi="Times New Roman"/>
          <w:sz w:val="28"/>
          <w:szCs w:val="28"/>
        </w:rPr>
      </w:pPr>
      <w:r>
        <w:rPr>
          <w:rFonts w:ascii="Times New Roman" w:hAnsi="Times New Roman"/>
          <w:sz w:val="28"/>
          <w:szCs w:val="28"/>
        </w:rPr>
        <w:t>Wprowadzona polityka Nowego Ładu Gospodarczego (New Deal) po raz pierwszy zastosowała mechanizmy prawne do zwalczania kryzysu w drodze bezpośrednich mechanizmów interwencyjnych.</w:t>
      </w:r>
    </w:p>
    <w:p w:rsidR="00516991" w:rsidRDefault="00516991" w:rsidP="00326918">
      <w:pPr>
        <w:spacing w:after="0" w:line="360" w:lineRule="auto"/>
        <w:jc w:val="both"/>
        <w:rPr>
          <w:rFonts w:ascii="Times New Roman" w:hAnsi="Times New Roman"/>
          <w:sz w:val="28"/>
          <w:szCs w:val="28"/>
        </w:rPr>
      </w:pPr>
      <w:r>
        <w:rPr>
          <w:rFonts w:ascii="Times New Roman" w:hAnsi="Times New Roman"/>
          <w:sz w:val="28"/>
          <w:szCs w:val="28"/>
        </w:rPr>
        <w:t xml:space="preserve">Interwencjonizm państwowy został zastosowany dla przeciwdziałania destrukcji amerykańskiego ustroju rolnego bazującego na ochronie farm rolnych. </w:t>
      </w:r>
    </w:p>
    <w:p w:rsidR="00516991" w:rsidRDefault="00516991" w:rsidP="00326918">
      <w:pPr>
        <w:spacing w:after="0" w:line="360" w:lineRule="auto"/>
        <w:jc w:val="both"/>
        <w:rPr>
          <w:rFonts w:ascii="Times New Roman" w:hAnsi="Times New Roman"/>
          <w:sz w:val="28"/>
          <w:szCs w:val="28"/>
        </w:rPr>
      </w:pPr>
      <w:r>
        <w:rPr>
          <w:rFonts w:ascii="Times New Roman" w:hAnsi="Times New Roman"/>
          <w:sz w:val="28"/>
          <w:szCs w:val="28"/>
        </w:rPr>
        <w:t>Przypomnieć należy, że w okresie kryzysu gospodarczego amerykańskie farmy rolne masowo popadały w upadłość. Przeciwdziałaniu temu procesowi miał służyć system wielopłaszczyznowego wspomagania gospodarczego farm rolniczych. W tym celu wprowadzono po raz pierwszy państwowy system zakupów interwencyjnych produktów rolnych. Obligatoryjnie zmniejszono również powierzchnie upraw polowych i stad zwierzęcych. Dokonano tego w oparciu o skonkretyzowane regulacje prawne</w:t>
      </w:r>
      <w:r>
        <w:rPr>
          <w:rStyle w:val="Odwoanieprzypisudolnego"/>
          <w:rFonts w:ascii="Times New Roman" w:hAnsi="Times New Roman"/>
          <w:sz w:val="28"/>
          <w:szCs w:val="28"/>
        </w:rPr>
        <w:footnoteReference w:id="5"/>
      </w:r>
      <w:r>
        <w:rPr>
          <w:rFonts w:ascii="Times New Roman" w:hAnsi="Times New Roman"/>
          <w:sz w:val="28"/>
          <w:szCs w:val="28"/>
        </w:rPr>
        <w:t>.</w:t>
      </w:r>
    </w:p>
    <w:p w:rsidR="00516991" w:rsidRDefault="00516991" w:rsidP="00326918">
      <w:pPr>
        <w:spacing w:after="0" w:line="360" w:lineRule="auto"/>
        <w:jc w:val="both"/>
        <w:rPr>
          <w:rFonts w:ascii="Times New Roman" w:hAnsi="Times New Roman"/>
          <w:sz w:val="28"/>
          <w:szCs w:val="28"/>
        </w:rPr>
      </w:pPr>
      <w:r>
        <w:rPr>
          <w:rFonts w:ascii="Times New Roman" w:hAnsi="Times New Roman"/>
          <w:sz w:val="28"/>
          <w:szCs w:val="28"/>
        </w:rPr>
        <w:t>W okresie polityki Nowego Ładu utworzono również pierwszą agencję interwencyjną</w:t>
      </w:r>
      <w:r>
        <w:rPr>
          <w:rStyle w:val="Odwoanieprzypisudolnego"/>
          <w:rFonts w:ascii="Times New Roman" w:hAnsi="Times New Roman"/>
          <w:sz w:val="28"/>
          <w:szCs w:val="28"/>
        </w:rPr>
        <w:footnoteReference w:id="6"/>
      </w:r>
      <w:r>
        <w:rPr>
          <w:rFonts w:ascii="Times New Roman" w:hAnsi="Times New Roman"/>
          <w:sz w:val="28"/>
          <w:szCs w:val="28"/>
        </w:rPr>
        <w:t>, której celem było finansowanie skupu produktów rolnych oraz eksport skupionych produktów rolnych</w:t>
      </w:r>
      <w:r>
        <w:rPr>
          <w:rStyle w:val="Odwoanieprzypisudolnego"/>
          <w:rFonts w:ascii="Times New Roman" w:hAnsi="Times New Roman"/>
          <w:sz w:val="28"/>
          <w:szCs w:val="28"/>
        </w:rPr>
        <w:footnoteReference w:id="7"/>
      </w:r>
      <w:r>
        <w:rPr>
          <w:rFonts w:ascii="Times New Roman" w:hAnsi="Times New Roman"/>
          <w:sz w:val="28"/>
          <w:szCs w:val="28"/>
        </w:rPr>
        <w:t>.</w:t>
      </w:r>
    </w:p>
    <w:p w:rsidR="00516991" w:rsidRDefault="00516991" w:rsidP="00326918">
      <w:pPr>
        <w:spacing w:after="0" w:line="360" w:lineRule="auto"/>
        <w:jc w:val="both"/>
        <w:rPr>
          <w:rFonts w:ascii="Times New Roman" w:hAnsi="Times New Roman"/>
          <w:sz w:val="28"/>
          <w:szCs w:val="28"/>
        </w:rPr>
      </w:pPr>
      <w:r>
        <w:rPr>
          <w:rFonts w:ascii="Times New Roman" w:hAnsi="Times New Roman"/>
          <w:sz w:val="28"/>
          <w:szCs w:val="28"/>
        </w:rPr>
        <w:t xml:space="preserve">Amerykańska agencja interwencyjna stanowiła </w:t>
      </w:r>
      <w:r w:rsidR="00E30BB8">
        <w:rPr>
          <w:rFonts w:ascii="Times New Roman" w:hAnsi="Times New Roman"/>
          <w:sz w:val="28"/>
          <w:szCs w:val="28"/>
        </w:rPr>
        <w:t xml:space="preserve">następnie </w:t>
      </w:r>
      <w:r>
        <w:rPr>
          <w:rFonts w:ascii="Times New Roman" w:hAnsi="Times New Roman"/>
          <w:sz w:val="28"/>
          <w:szCs w:val="28"/>
        </w:rPr>
        <w:t xml:space="preserve">wzór dla wprowadzania rolniczych agencji w państwach Unii Europejskiej. W okresie następującym po opanowaniu wielkiego kryzysu gospodarczego w Stanach Zjednoczonych zdecydowano się na wprowadzenie subwencjonowania farm rodzinnych oraz innych działów rolnictwa. Redukcja subwencji rolnych wprowadzonych po opanowaniu wspomnianego kryzysu nastąpiła bowiem dopiero pod koniec 20 w. w wyniku przyjęcia porozumień międzynarodowych </w:t>
      </w:r>
      <w:r>
        <w:rPr>
          <w:rFonts w:ascii="Times New Roman" w:hAnsi="Times New Roman"/>
          <w:sz w:val="28"/>
          <w:szCs w:val="28"/>
        </w:rPr>
        <w:lastRenderedPageBreak/>
        <w:t>w ramach Porozumienie Rundy Urugwajskiej GATT z 1993 r. Wprowadzono natomiast system odłogowania gruntów w celu ograniczenia wolumenu produkcji rolnej powiązany z systemem dotacji finansowych z tego tytułu.</w:t>
      </w:r>
    </w:p>
    <w:p w:rsidR="00516991" w:rsidRDefault="00516991" w:rsidP="00326918">
      <w:pPr>
        <w:spacing w:after="0" w:line="360" w:lineRule="auto"/>
        <w:jc w:val="both"/>
        <w:rPr>
          <w:rFonts w:ascii="Times New Roman" w:hAnsi="Times New Roman"/>
          <w:sz w:val="28"/>
          <w:szCs w:val="28"/>
        </w:rPr>
      </w:pPr>
      <w:r>
        <w:rPr>
          <w:rFonts w:ascii="Times New Roman" w:hAnsi="Times New Roman"/>
          <w:sz w:val="28"/>
          <w:szCs w:val="28"/>
        </w:rPr>
        <w:t>Prowadzona współcześnie w Stanach Zjednoczonych Ameryki Północnej polityka interwencyjna w rolnictwie zakłada aktywne oddziaływanie państwa także w płaszczyźnie podatkowej zarówno w podatku federalnym jak i stanowym. Uchwalone i wielokrotnie nowelizowane prawo o farmach (Farm Bill</w:t>
      </w:r>
      <w:r>
        <w:rPr>
          <w:rStyle w:val="Odwoanieprzypisudolnego"/>
          <w:rFonts w:ascii="Times New Roman" w:hAnsi="Times New Roman"/>
          <w:sz w:val="28"/>
          <w:szCs w:val="28"/>
        </w:rPr>
        <w:footnoteReference w:id="8"/>
      </w:r>
      <w:r>
        <w:rPr>
          <w:rFonts w:ascii="Times New Roman" w:hAnsi="Times New Roman"/>
          <w:sz w:val="28"/>
          <w:szCs w:val="28"/>
        </w:rPr>
        <w:t xml:space="preserve">) reguluje kompleksowo problematykę rolnictwa i jego otoczenia w tym system wspierania: dochodów rolniczych, dotowania cen produktów rolnych, finansowanie rolnictwa, kształtowanie obszarów wiejskich, ochronę gruntów rolnych, gospodarkę leśną, ochronę środowiska. Wprowadzono także pomoc w celu: wspierania młodych rolników, ubezpieczeń rolniczych, finansowania badań naukowych, handlu produktami rolnymi. Dotowana jest również pomoc żywnościowa oraz dostęp do szerokopasmowego </w:t>
      </w:r>
      <w:proofErr w:type="spellStart"/>
      <w:r>
        <w:rPr>
          <w:rFonts w:ascii="Times New Roman" w:hAnsi="Times New Roman"/>
          <w:sz w:val="28"/>
          <w:szCs w:val="28"/>
        </w:rPr>
        <w:t>internetu</w:t>
      </w:r>
      <w:proofErr w:type="spellEnd"/>
      <w:r>
        <w:rPr>
          <w:rFonts w:ascii="Times New Roman" w:hAnsi="Times New Roman"/>
          <w:sz w:val="28"/>
          <w:szCs w:val="28"/>
        </w:rPr>
        <w:t xml:space="preserve"> itp.</w:t>
      </w:r>
      <w:r w:rsidRPr="00486A58">
        <w:rPr>
          <w:rStyle w:val="Odwoanieprzypisudolnego"/>
          <w:rFonts w:ascii="Times New Roman" w:hAnsi="Times New Roman"/>
          <w:sz w:val="28"/>
          <w:szCs w:val="28"/>
        </w:rPr>
        <w:footnoteReference w:id="9"/>
      </w:r>
    </w:p>
    <w:p w:rsidR="00516991" w:rsidRDefault="00516991" w:rsidP="00326918">
      <w:pPr>
        <w:spacing w:after="0" w:line="360" w:lineRule="auto"/>
        <w:jc w:val="both"/>
        <w:rPr>
          <w:rFonts w:ascii="Times New Roman" w:hAnsi="Times New Roman"/>
          <w:sz w:val="28"/>
          <w:szCs w:val="28"/>
        </w:rPr>
      </w:pPr>
      <w:r>
        <w:rPr>
          <w:rFonts w:ascii="Times New Roman" w:hAnsi="Times New Roman"/>
          <w:sz w:val="28"/>
          <w:szCs w:val="28"/>
        </w:rPr>
        <w:t xml:space="preserve">Model interwencjonizmu amerykańskiego i jego prawny mechanizm ma na celu kształtowanie stosunków prawnych w obszarze rolnictwa i obszarów wiejskich. </w:t>
      </w:r>
    </w:p>
    <w:p w:rsidR="00516991" w:rsidRDefault="00516991" w:rsidP="00326918">
      <w:pPr>
        <w:spacing w:after="0" w:line="360" w:lineRule="auto"/>
        <w:jc w:val="both"/>
        <w:rPr>
          <w:rFonts w:ascii="Times New Roman" w:hAnsi="Times New Roman"/>
          <w:sz w:val="28"/>
          <w:szCs w:val="28"/>
        </w:rPr>
      </w:pPr>
      <w:r>
        <w:rPr>
          <w:rFonts w:ascii="Times New Roman" w:hAnsi="Times New Roman"/>
          <w:sz w:val="28"/>
          <w:szCs w:val="28"/>
        </w:rPr>
        <w:t xml:space="preserve">Praktycznie </w:t>
      </w:r>
      <w:proofErr w:type="spellStart"/>
      <w:r>
        <w:rPr>
          <w:rFonts w:ascii="Times New Roman" w:hAnsi="Times New Roman"/>
          <w:sz w:val="28"/>
          <w:szCs w:val="28"/>
        </w:rPr>
        <w:t>oddziaływuje</w:t>
      </w:r>
      <w:proofErr w:type="spellEnd"/>
      <w:r>
        <w:rPr>
          <w:rFonts w:ascii="Times New Roman" w:hAnsi="Times New Roman"/>
          <w:sz w:val="28"/>
          <w:szCs w:val="28"/>
        </w:rPr>
        <w:t xml:space="preserve"> on na wszystkie wiodące czynniki produkcji rolnej w różnym stopniu w zależności od kierunków polityki rolnej.</w:t>
      </w:r>
    </w:p>
    <w:p w:rsidR="00516991" w:rsidRDefault="00516991" w:rsidP="00326918">
      <w:pPr>
        <w:spacing w:after="0" w:line="360" w:lineRule="auto"/>
        <w:jc w:val="both"/>
        <w:rPr>
          <w:rFonts w:ascii="Times New Roman" w:hAnsi="Times New Roman"/>
          <w:sz w:val="28"/>
          <w:szCs w:val="28"/>
        </w:rPr>
      </w:pPr>
      <w:r>
        <w:rPr>
          <w:rFonts w:ascii="Times New Roman" w:hAnsi="Times New Roman"/>
          <w:sz w:val="28"/>
          <w:szCs w:val="28"/>
        </w:rPr>
        <w:t xml:space="preserve">Oddziaływanie polityki rolnej poprzez mechanizmy prawne ugruntował w USA pozycje rodzinnych farm rolnych które coraz powszechniej przekształcają się w </w:t>
      </w:r>
      <w:proofErr w:type="spellStart"/>
      <w:r>
        <w:rPr>
          <w:rFonts w:ascii="Times New Roman" w:hAnsi="Times New Roman"/>
          <w:sz w:val="28"/>
          <w:szCs w:val="28"/>
        </w:rPr>
        <w:t>agro-przemysłowe</w:t>
      </w:r>
      <w:proofErr w:type="spellEnd"/>
      <w:r>
        <w:rPr>
          <w:rFonts w:ascii="Times New Roman" w:hAnsi="Times New Roman"/>
          <w:sz w:val="28"/>
          <w:szCs w:val="28"/>
        </w:rPr>
        <w:t xml:space="preserve"> przedsiębiorstwa rolne bazujące na szeroko wyspecjalizowanych – niekiedy monokulturowych uprawach. System interwencji gospodarczej wspiera również otoczenie rolnictwa to jest w sferę przedprodukcyjną i poprodukcyjną.</w:t>
      </w:r>
    </w:p>
    <w:p w:rsidR="00516991" w:rsidRDefault="00516991" w:rsidP="00326918">
      <w:pPr>
        <w:spacing w:after="0" w:line="360" w:lineRule="auto"/>
        <w:jc w:val="both"/>
        <w:rPr>
          <w:rFonts w:ascii="Times New Roman" w:hAnsi="Times New Roman"/>
          <w:sz w:val="28"/>
          <w:szCs w:val="28"/>
        </w:rPr>
      </w:pPr>
    </w:p>
    <w:p w:rsidR="00516991" w:rsidRPr="00B47B0B" w:rsidRDefault="00516991" w:rsidP="00326918">
      <w:pPr>
        <w:spacing w:after="0" w:line="360" w:lineRule="auto"/>
        <w:jc w:val="both"/>
        <w:rPr>
          <w:rFonts w:ascii="Times New Roman" w:hAnsi="Times New Roman"/>
          <w:b/>
          <w:sz w:val="28"/>
          <w:szCs w:val="28"/>
        </w:rPr>
      </w:pPr>
      <w:r w:rsidRPr="00B47B0B">
        <w:rPr>
          <w:rFonts w:ascii="Times New Roman" w:hAnsi="Times New Roman"/>
          <w:b/>
          <w:sz w:val="28"/>
          <w:szCs w:val="28"/>
        </w:rPr>
        <w:lastRenderedPageBreak/>
        <w:t>3. Kształtowanie gospodarstwa rolnego w systemie regulacji prawnych Unii Europejskiej.</w:t>
      </w:r>
    </w:p>
    <w:p w:rsidR="00516991" w:rsidRDefault="00516991" w:rsidP="00CC131B">
      <w:pPr>
        <w:spacing w:after="0" w:line="360" w:lineRule="auto"/>
        <w:jc w:val="both"/>
        <w:rPr>
          <w:rFonts w:ascii="Times New Roman" w:hAnsi="Times New Roman"/>
          <w:sz w:val="28"/>
          <w:szCs w:val="28"/>
        </w:rPr>
      </w:pPr>
      <w:r>
        <w:rPr>
          <w:rFonts w:ascii="Times New Roman" w:hAnsi="Times New Roman"/>
          <w:sz w:val="28"/>
          <w:szCs w:val="28"/>
        </w:rPr>
        <w:t>Model prawny kształtowania gospodarstwa rolnego w Unii Europejskiej wyznacza Wspólna Polityka Rolna Unii Europejskiej oraz jej instrumentalizacja prawna. Uzupełniają ją regulacje narodowe dotyczące zwłaszcza struktur rolnych które nie są przedmiotem bezpośredniego oddziaływania prawa unijnego</w:t>
      </w:r>
      <w:r>
        <w:rPr>
          <w:rStyle w:val="Odwoanieprzypisudolnego"/>
          <w:rFonts w:ascii="Times New Roman" w:hAnsi="Times New Roman"/>
          <w:sz w:val="28"/>
          <w:szCs w:val="28"/>
        </w:rPr>
        <w:footnoteReference w:id="10"/>
      </w:r>
      <w:r>
        <w:rPr>
          <w:rFonts w:ascii="Times New Roman" w:hAnsi="Times New Roman"/>
          <w:sz w:val="28"/>
          <w:szCs w:val="28"/>
        </w:rPr>
        <w:t>. Regulacje prawne WPA zapewniają stabilizację dochodów rolniczych (parytet dochodów), zmierzają do ukierunkowanego ograniczenia niektórych produktów rolnych oraz stymulowania eksportu powiązanych z refundacjami eksportowymi dla produktów rolnych. Nie należy zapominać również o obowiązującej od 1968 r. jednolitej taryfie celnej dla wszystkich członków UE.</w:t>
      </w:r>
    </w:p>
    <w:p w:rsidR="00516991" w:rsidRDefault="00516991" w:rsidP="00CC131B">
      <w:pPr>
        <w:spacing w:after="0" w:line="360" w:lineRule="auto"/>
        <w:jc w:val="both"/>
        <w:rPr>
          <w:rFonts w:ascii="Times New Roman" w:hAnsi="Times New Roman"/>
          <w:sz w:val="28"/>
          <w:szCs w:val="28"/>
        </w:rPr>
      </w:pPr>
      <w:r>
        <w:rPr>
          <w:rFonts w:ascii="Times New Roman" w:hAnsi="Times New Roman"/>
          <w:sz w:val="28"/>
          <w:szCs w:val="28"/>
        </w:rPr>
        <w:t>Natomiast regulacje poszczególnych krajów członkowskich koncentrują się na kształtowaniu szczególnego statusu i ochrony gospodarstwa rodzinnego, ochrony bytu gospodarstw oraz rozwiązań prawnych dotyczących modernizacji gospodarstw przy możliwości ograniczenia podziałów gospodarstw rolnych w wyniku sukcesji generalnej. Odnotować należy regulacje strukturalne wspierające stabilizację rozwoju gospodarstw rolnych poprzez kontrolowany sposób rozdysponowania ziemi w ramach wyodrębnionych podmiotów kontrolowanych przez państwa takich jak – SAFER we Francji (spółki urządzeń i osadnictwa rolnego) czy Niemczech – BVVG (spółki ds. gospodarowania i administrowania ziemią).</w:t>
      </w:r>
    </w:p>
    <w:p w:rsidR="00516991" w:rsidRDefault="00516991" w:rsidP="00CC131B">
      <w:pPr>
        <w:spacing w:after="0" w:line="360" w:lineRule="auto"/>
        <w:jc w:val="both"/>
        <w:rPr>
          <w:rFonts w:ascii="Times New Roman" w:hAnsi="Times New Roman"/>
          <w:sz w:val="28"/>
          <w:szCs w:val="28"/>
        </w:rPr>
      </w:pPr>
      <w:r>
        <w:rPr>
          <w:rFonts w:ascii="Times New Roman" w:hAnsi="Times New Roman"/>
          <w:sz w:val="28"/>
          <w:szCs w:val="28"/>
        </w:rPr>
        <w:t xml:space="preserve">Nadmienić należy, że we wstępnym okresie rozwoju WPR prawo wspólnotowe aktywnie oddziaływało </w:t>
      </w:r>
      <w:r w:rsidR="00E30BB8">
        <w:rPr>
          <w:rFonts w:ascii="Times New Roman" w:hAnsi="Times New Roman"/>
          <w:sz w:val="28"/>
          <w:szCs w:val="28"/>
        </w:rPr>
        <w:t>na czynnik ziemi w drodze tzw. r</w:t>
      </w:r>
      <w:r>
        <w:rPr>
          <w:rFonts w:ascii="Times New Roman" w:hAnsi="Times New Roman"/>
          <w:sz w:val="28"/>
          <w:szCs w:val="28"/>
        </w:rPr>
        <w:t>egulacji modernizacyjnych gospodarstw rolnych</w:t>
      </w:r>
      <w:r>
        <w:rPr>
          <w:rStyle w:val="Odwoanieprzypisudolnego"/>
          <w:rFonts w:ascii="Times New Roman" w:hAnsi="Times New Roman"/>
          <w:sz w:val="28"/>
          <w:szCs w:val="28"/>
        </w:rPr>
        <w:footnoteReference w:id="11"/>
      </w:r>
      <w:r>
        <w:rPr>
          <w:rFonts w:ascii="Times New Roman" w:hAnsi="Times New Roman"/>
          <w:sz w:val="28"/>
          <w:szCs w:val="28"/>
        </w:rPr>
        <w:t xml:space="preserve">. W dalszej kolejności regulacji </w:t>
      </w:r>
      <w:r>
        <w:rPr>
          <w:rFonts w:ascii="Times New Roman" w:hAnsi="Times New Roman"/>
          <w:sz w:val="28"/>
          <w:szCs w:val="28"/>
        </w:rPr>
        <w:lastRenderedPageBreak/>
        <w:t>prawnej poddano zwiększenie efektywności tzw. struktur rolnych</w:t>
      </w:r>
      <w:r>
        <w:rPr>
          <w:rStyle w:val="Odwoanieprzypisudolnego"/>
          <w:rFonts w:ascii="Times New Roman" w:hAnsi="Times New Roman"/>
          <w:sz w:val="28"/>
          <w:szCs w:val="28"/>
        </w:rPr>
        <w:footnoteReference w:id="12"/>
      </w:r>
      <w:r>
        <w:rPr>
          <w:rFonts w:ascii="Times New Roman" w:hAnsi="Times New Roman"/>
          <w:sz w:val="28"/>
          <w:szCs w:val="28"/>
        </w:rPr>
        <w:t xml:space="preserve">. W szczególności dotyczyło to </w:t>
      </w:r>
      <w:proofErr w:type="spellStart"/>
      <w:r>
        <w:rPr>
          <w:rFonts w:ascii="Times New Roman" w:hAnsi="Times New Roman"/>
          <w:sz w:val="28"/>
          <w:szCs w:val="28"/>
        </w:rPr>
        <w:t>rgulacji</w:t>
      </w:r>
      <w:proofErr w:type="spellEnd"/>
      <w:r>
        <w:rPr>
          <w:rFonts w:ascii="Times New Roman" w:hAnsi="Times New Roman"/>
          <w:sz w:val="28"/>
          <w:szCs w:val="28"/>
        </w:rPr>
        <w:t xml:space="preserve"> w zakresie rent strukturalnych, wspomagania rozwoju infrastruktury gospodarstw rolnych, wspomagania gospodarstw w regionach trudnych tj. np. górskich i podgórskich. Z drugiej strony regulacją prawną objęto branżowe rynki rolne – roślinne i zwierzęce w ramach których gospodarstwa rolne mogły kształtować swobodnie swój parytet dochodowy</w:t>
      </w:r>
      <w:r w:rsidRPr="00881AF4">
        <w:rPr>
          <w:rStyle w:val="Odwoanieprzypisudolnego"/>
          <w:rFonts w:ascii="Times New Roman" w:hAnsi="Times New Roman"/>
          <w:sz w:val="28"/>
          <w:szCs w:val="28"/>
        </w:rPr>
        <w:footnoteReference w:id="13"/>
      </w:r>
      <w:r>
        <w:rPr>
          <w:rFonts w:ascii="Times New Roman" w:hAnsi="Times New Roman"/>
          <w:sz w:val="28"/>
          <w:szCs w:val="28"/>
        </w:rPr>
        <w:t>.</w:t>
      </w:r>
    </w:p>
    <w:p w:rsidR="00516991" w:rsidRDefault="00516991" w:rsidP="00CC131B">
      <w:pPr>
        <w:spacing w:after="0" w:line="360" w:lineRule="auto"/>
        <w:jc w:val="both"/>
        <w:rPr>
          <w:rFonts w:ascii="Times New Roman" w:hAnsi="Times New Roman"/>
          <w:sz w:val="28"/>
          <w:szCs w:val="28"/>
        </w:rPr>
      </w:pPr>
      <w:r>
        <w:rPr>
          <w:rFonts w:ascii="Times New Roman" w:hAnsi="Times New Roman"/>
          <w:sz w:val="28"/>
          <w:szCs w:val="28"/>
        </w:rPr>
        <w:t>Unijny system prawny oddziaływujący w drodze wieloaspektowego oddziaływania na wszystkie czynniki gospodarowania nie wypracował ujednoliconej definicji gospodarstwa rolnego czy też gospodarstwa rodzinnego. Pojęcie gospodarstwa rolnego lub rodzinnego w sensie normatywnym podlega modyfikacjom w zależności od celu określonej regulacji dokonywanej w ramach konkretnych aktów prawnych</w:t>
      </w:r>
      <w:r>
        <w:rPr>
          <w:rStyle w:val="Odwoanieprzypisudolnego"/>
          <w:rFonts w:ascii="Times New Roman" w:hAnsi="Times New Roman"/>
          <w:sz w:val="28"/>
          <w:szCs w:val="28"/>
        </w:rPr>
        <w:footnoteReference w:id="14"/>
      </w:r>
      <w:r>
        <w:rPr>
          <w:rFonts w:ascii="Times New Roman" w:hAnsi="Times New Roman"/>
          <w:sz w:val="28"/>
          <w:szCs w:val="28"/>
        </w:rPr>
        <w:t xml:space="preserve">. </w:t>
      </w:r>
    </w:p>
    <w:p w:rsidR="00516991" w:rsidRDefault="00516991" w:rsidP="00CC131B">
      <w:pPr>
        <w:spacing w:after="0" w:line="360" w:lineRule="auto"/>
        <w:jc w:val="both"/>
        <w:rPr>
          <w:rFonts w:ascii="Times New Roman" w:hAnsi="Times New Roman"/>
          <w:sz w:val="28"/>
          <w:szCs w:val="28"/>
        </w:rPr>
      </w:pPr>
      <w:r>
        <w:rPr>
          <w:rFonts w:ascii="Times New Roman" w:hAnsi="Times New Roman"/>
          <w:sz w:val="28"/>
          <w:szCs w:val="28"/>
        </w:rPr>
        <w:t>W prawodawstwie Unii Europejskiej definicja gospodarstwa rolnego nie stanowi kategorii prawnej sztywno określającej wielkość czy strukturę gospodarstwa. W odniesieniu do wspólnotowej definicji gospodarstwa rolnego nie mogą być stosowane nadto jakiekolwiek ograniczenia administracyjne.</w:t>
      </w:r>
    </w:p>
    <w:p w:rsidR="00516991" w:rsidRDefault="00516991" w:rsidP="00CC131B">
      <w:pPr>
        <w:spacing w:after="0" w:line="360" w:lineRule="auto"/>
        <w:jc w:val="both"/>
        <w:rPr>
          <w:rFonts w:ascii="Times New Roman" w:hAnsi="Times New Roman"/>
          <w:sz w:val="28"/>
          <w:szCs w:val="28"/>
        </w:rPr>
      </w:pPr>
      <w:r>
        <w:rPr>
          <w:rFonts w:ascii="Times New Roman" w:hAnsi="Times New Roman"/>
          <w:sz w:val="28"/>
          <w:szCs w:val="28"/>
        </w:rPr>
        <w:t>Precedensowe w swojej treści jest orzeczenie ETS – Santa Anna v. INPS</w:t>
      </w:r>
      <w:r>
        <w:rPr>
          <w:rStyle w:val="Odwoanieprzypisudolnego"/>
          <w:rFonts w:ascii="Times New Roman" w:hAnsi="Times New Roman"/>
          <w:sz w:val="28"/>
          <w:szCs w:val="28"/>
        </w:rPr>
        <w:footnoteReference w:id="15"/>
      </w:r>
      <w:r>
        <w:rPr>
          <w:rFonts w:ascii="Times New Roman" w:hAnsi="Times New Roman"/>
          <w:sz w:val="28"/>
          <w:szCs w:val="28"/>
        </w:rPr>
        <w:t>. W orzeczeniu tym Trybunał orzekł, że w Traktacie Rzymskim nie została zawarta żadna ścisła definicja rolnictwa, a tym bardziej definicja gospodarstwa rolnego czy rodzinnego, stąd też wypracowanie w razie potrzeby odpowiedniej definicji przypadało instytucjom Wspólnoty</w:t>
      </w:r>
      <w:r>
        <w:rPr>
          <w:rStyle w:val="Odwoanieprzypisudolnego"/>
          <w:rFonts w:ascii="Times New Roman" w:hAnsi="Times New Roman"/>
          <w:sz w:val="28"/>
          <w:szCs w:val="28"/>
        </w:rPr>
        <w:footnoteReference w:id="16"/>
      </w:r>
      <w:r>
        <w:rPr>
          <w:rFonts w:ascii="Times New Roman" w:hAnsi="Times New Roman"/>
          <w:sz w:val="28"/>
          <w:szCs w:val="28"/>
        </w:rPr>
        <w:t>.</w:t>
      </w:r>
    </w:p>
    <w:p w:rsidR="00516991" w:rsidRDefault="00516991" w:rsidP="00CC131B">
      <w:pPr>
        <w:spacing w:after="0" w:line="360" w:lineRule="auto"/>
        <w:jc w:val="both"/>
        <w:rPr>
          <w:rFonts w:ascii="Times New Roman" w:hAnsi="Times New Roman"/>
          <w:sz w:val="28"/>
          <w:szCs w:val="28"/>
        </w:rPr>
      </w:pPr>
      <w:r>
        <w:rPr>
          <w:rFonts w:ascii="Times New Roman" w:hAnsi="Times New Roman"/>
          <w:sz w:val="28"/>
          <w:szCs w:val="28"/>
        </w:rPr>
        <w:t xml:space="preserve">Unijny model prawny kształtujący gospodarstwo rolne </w:t>
      </w:r>
      <w:proofErr w:type="spellStart"/>
      <w:r>
        <w:rPr>
          <w:rFonts w:ascii="Times New Roman" w:hAnsi="Times New Roman"/>
          <w:sz w:val="28"/>
          <w:szCs w:val="28"/>
        </w:rPr>
        <w:t>oddziaływuje</w:t>
      </w:r>
      <w:proofErr w:type="spellEnd"/>
      <w:r>
        <w:rPr>
          <w:rFonts w:ascii="Times New Roman" w:hAnsi="Times New Roman"/>
          <w:sz w:val="28"/>
          <w:szCs w:val="28"/>
        </w:rPr>
        <w:t xml:space="preserve"> na status tego gospodarstwa zarówno poprzez wspomaganie jego struktury jak równie poprzez kształtowanie regulowanych rynków rolnych. Proces ten finansowany </w:t>
      </w:r>
      <w:r>
        <w:rPr>
          <w:rFonts w:ascii="Times New Roman" w:hAnsi="Times New Roman"/>
          <w:sz w:val="28"/>
          <w:szCs w:val="28"/>
        </w:rPr>
        <w:lastRenderedPageBreak/>
        <w:t>jest zarówno przez środki unijne w ramach wyodrębnionych funduszy jak również poprzez programy strukturalne finansowane przez UE krajowe oraz w ramach tzw. „koperty narodowej”, finansowanej z budżetu narodowego. W zależności zatem od kierunków i celów WPR oddziaływaniu prawnemu podlegają z różną intensywnością wszystkie czynniki gospodarowania to jest: ziemia, praca, kapitał i organizacja.</w:t>
      </w:r>
    </w:p>
    <w:p w:rsidR="00516991" w:rsidRDefault="00516991" w:rsidP="00CC131B">
      <w:pPr>
        <w:spacing w:after="0" w:line="360" w:lineRule="auto"/>
        <w:jc w:val="both"/>
        <w:rPr>
          <w:rFonts w:ascii="Times New Roman" w:hAnsi="Times New Roman"/>
          <w:sz w:val="28"/>
          <w:szCs w:val="28"/>
        </w:rPr>
      </w:pPr>
    </w:p>
    <w:p w:rsidR="00516991" w:rsidRPr="000C23CD" w:rsidRDefault="00516991" w:rsidP="00CC131B">
      <w:pPr>
        <w:spacing w:after="0" w:line="360" w:lineRule="auto"/>
        <w:jc w:val="both"/>
        <w:rPr>
          <w:rFonts w:ascii="Times New Roman" w:hAnsi="Times New Roman"/>
          <w:b/>
          <w:sz w:val="28"/>
          <w:szCs w:val="28"/>
        </w:rPr>
      </w:pPr>
      <w:r w:rsidRPr="000C23CD">
        <w:rPr>
          <w:rFonts w:ascii="Times New Roman" w:hAnsi="Times New Roman"/>
          <w:b/>
          <w:sz w:val="28"/>
          <w:szCs w:val="28"/>
        </w:rPr>
        <w:t xml:space="preserve">4. Model </w:t>
      </w:r>
      <w:proofErr w:type="spellStart"/>
      <w:r w:rsidRPr="000C23CD">
        <w:rPr>
          <w:rFonts w:ascii="Times New Roman" w:hAnsi="Times New Roman"/>
          <w:b/>
          <w:sz w:val="28"/>
          <w:szCs w:val="28"/>
        </w:rPr>
        <w:t>kolektywizacyjny</w:t>
      </w:r>
      <w:proofErr w:type="spellEnd"/>
      <w:r w:rsidRPr="000C23CD">
        <w:rPr>
          <w:rFonts w:ascii="Times New Roman" w:hAnsi="Times New Roman"/>
          <w:b/>
          <w:sz w:val="28"/>
          <w:szCs w:val="28"/>
        </w:rPr>
        <w:t>.</w:t>
      </w:r>
    </w:p>
    <w:p w:rsidR="00516991" w:rsidRDefault="00516991" w:rsidP="00CC131B">
      <w:pPr>
        <w:spacing w:after="0" w:line="360" w:lineRule="auto"/>
        <w:jc w:val="both"/>
        <w:rPr>
          <w:rFonts w:ascii="Times New Roman" w:hAnsi="Times New Roman"/>
          <w:sz w:val="28"/>
          <w:szCs w:val="28"/>
        </w:rPr>
      </w:pPr>
      <w:r>
        <w:rPr>
          <w:rFonts w:ascii="Times New Roman" w:hAnsi="Times New Roman"/>
          <w:sz w:val="28"/>
          <w:szCs w:val="28"/>
        </w:rPr>
        <w:t xml:space="preserve">Kolektywizacja stanowi jak wiadomo zaprzeczenie indywidualizmu gospodarczego w tym możliwości prowadzenia indywidualnego gospodarstwa rolnego. </w:t>
      </w:r>
    </w:p>
    <w:p w:rsidR="00516991" w:rsidRDefault="00516991" w:rsidP="00CC131B">
      <w:pPr>
        <w:spacing w:after="0" w:line="360" w:lineRule="auto"/>
        <w:jc w:val="both"/>
        <w:rPr>
          <w:rFonts w:ascii="Times New Roman" w:hAnsi="Times New Roman"/>
          <w:sz w:val="28"/>
          <w:szCs w:val="28"/>
        </w:rPr>
      </w:pPr>
      <w:r>
        <w:rPr>
          <w:rFonts w:ascii="Times New Roman" w:hAnsi="Times New Roman"/>
          <w:sz w:val="28"/>
          <w:szCs w:val="28"/>
        </w:rPr>
        <w:t xml:space="preserve">Nacjonalizacja ziemi oraz uspołecznienie pracy charakterystyczne było dla większości państw komunistycznych. W krajach tych poza Polską i byłą Jugosławią zachowała się gospodarka prywatna w rolnictwie przy współfunkcjonowaniu sektora państwowego i niewielkiego sektora spółdzielczego. Klasyczny model </w:t>
      </w:r>
      <w:proofErr w:type="spellStart"/>
      <w:r>
        <w:rPr>
          <w:rFonts w:ascii="Times New Roman" w:hAnsi="Times New Roman"/>
          <w:sz w:val="28"/>
          <w:szCs w:val="28"/>
        </w:rPr>
        <w:t>kolektywizacyjny</w:t>
      </w:r>
      <w:proofErr w:type="spellEnd"/>
      <w:r>
        <w:rPr>
          <w:rFonts w:ascii="Times New Roman" w:hAnsi="Times New Roman"/>
          <w:sz w:val="28"/>
          <w:szCs w:val="28"/>
        </w:rPr>
        <w:t xml:space="preserve"> wprowadzony w byłym ZSRR oraz Chinach zakładał uspołecznienie wszystkich czynników gospodarowania. Czynnik kapitałowy powiązany był z administracyjnym systemem rozdzielnictwa dotacji państwowych a czynnik organizacji przybierał różne typy struktur i organizacji przedsiębiorstw państwowych i spółdzielczych włącznie z tworzeniem terytorialno-rodzinnych organizacji gospodarczych tzw. komun ludowych co miało miejsce w Chinach. Upadek komunizmu doprowadził do restytucji w wielu krajach gospodarstw rodzinnych, chociaż nie we wszystkich krajach państwo chciało się wyzbyć wpływu na czynnik ziemi rolnej pozostając nadal jego właścicielem i dzierżawiąc grunty rolne rolnikom prywatnym (np. Białoruś, Rosja, Chiny).</w:t>
      </w:r>
    </w:p>
    <w:p w:rsidR="00516991" w:rsidRDefault="00516991" w:rsidP="00CC131B">
      <w:pPr>
        <w:spacing w:after="0" w:line="360" w:lineRule="auto"/>
        <w:jc w:val="both"/>
        <w:rPr>
          <w:rFonts w:ascii="Times New Roman" w:hAnsi="Times New Roman"/>
          <w:sz w:val="28"/>
          <w:szCs w:val="28"/>
        </w:rPr>
      </w:pPr>
      <w:r>
        <w:rPr>
          <w:rFonts w:ascii="Times New Roman" w:hAnsi="Times New Roman"/>
          <w:sz w:val="28"/>
          <w:szCs w:val="28"/>
        </w:rPr>
        <w:t>Wraz ze zmianami ustrojowymi w ZSRR i krajach Europy – Środkowo-Wschodniej ten typ gospodarowania bazującego na gospodarce nakazowo-</w:t>
      </w:r>
      <w:r>
        <w:rPr>
          <w:rFonts w:ascii="Times New Roman" w:hAnsi="Times New Roman"/>
          <w:sz w:val="28"/>
          <w:szCs w:val="28"/>
        </w:rPr>
        <w:lastRenderedPageBreak/>
        <w:t>rozdzielczej przestał istnieć. Występuje on incydentalnie w świecie np. na Kubie i Korei Północnej.</w:t>
      </w:r>
    </w:p>
    <w:p w:rsidR="00516991" w:rsidRDefault="00516991" w:rsidP="00CC131B">
      <w:pPr>
        <w:spacing w:after="0" w:line="360" w:lineRule="auto"/>
        <w:jc w:val="both"/>
        <w:rPr>
          <w:rFonts w:ascii="Times New Roman" w:hAnsi="Times New Roman"/>
          <w:sz w:val="28"/>
          <w:szCs w:val="28"/>
        </w:rPr>
      </w:pPr>
    </w:p>
    <w:p w:rsidR="00516991" w:rsidRPr="001068C6" w:rsidRDefault="00516991" w:rsidP="00CC131B">
      <w:pPr>
        <w:spacing w:after="0" w:line="360" w:lineRule="auto"/>
        <w:jc w:val="both"/>
        <w:rPr>
          <w:rFonts w:ascii="Times New Roman" w:hAnsi="Times New Roman"/>
          <w:b/>
          <w:sz w:val="28"/>
          <w:szCs w:val="28"/>
        </w:rPr>
      </w:pPr>
      <w:r w:rsidRPr="001068C6">
        <w:rPr>
          <w:rFonts w:ascii="Times New Roman" w:hAnsi="Times New Roman"/>
          <w:b/>
          <w:sz w:val="28"/>
          <w:szCs w:val="28"/>
        </w:rPr>
        <w:t>5. Polski normatywny model kształtowania gospodarstwa rolnego.</w:t>
      </w:r>
    </w:p>
    <w:p w:rsidR="00516991" w:rsidRDefault="00516991" w:rsidP="00CC131B">
      <w:pPr>
        <w:spacing w:after="0" w:line="360" w:lineRule="auto"/>
        <w:jc w:val="both"/>
        <w:rPr>
          <w:rFonts w:ascii="Times New Roman" w:hAnsi="Times New Roman"/>
          <w:sz w:val="28"/>
          <w:szCs w:val="28"/>
        </w:rPr>
      </w:pPr>
      <w:r>
        <w:rPr>
          <w:rFonts w:ascii="Times New Roman" w:hAnsi="Times New Roman"/>
          <w:sz w:val="28"/>
          <w:szCs w:val="28"/>
        </w:rPr>
        <w:t xml:space="preserve">Do czasu przekształceń ustrojowych polski model </w:t>
      </w:r>
      <w:r w:rsidRPr="00B656A2">
        <w:rPr>
          <w:rFonts w:ascii="Times New Roman" w:hAnsi="Times New Roman"/>
          <w:sz w:val="28"/>
          <w:szCs w:val="28"/>
        </w:rPr>
        <w:t>normatywny</w:t>
      </w:r>
      <w:r>
        <w:rPr>
          <w:rFonts w:ascii="Times New Roman" w:hAnsi="Times New Roman"/>
          <w:sz w:val="28"/>
          <w:szCs w:val="28"/>
        </w:rPr>
        <w:t xml:space="preserve"> gospodarstwa rolnego bazował na trójsektorowym systemie w skład którego wchodziły gospodarstwa prywatne, spółdzielnie produkcyjne i przedsiębiorstwa państwowe.</w:t>
      </w:r>
    </w:p>
    <w:p w:rsidR="00516991" w:rsidRDefault="00516991" w:rsidP="00CC131B">
      <w:pPr>
        <w:spacing w:after="0" w:line="360" w:lineRule="auto"/>
        <w:jc w:val="both"/>
        <w:rPr>
          <w:rFonts w:ascii="Times New Roman" w:hAnsi="Times New Roman"/>
          <w:sz w:val="28"/>
          <w:szCs w:val="28"/>
        </w:rPr>
      </w:pPr>
      <w:r>
        <w:rPr>
          <w:rFonts w:ascii="Times New Roman" w:hAnsi="Times New Roman"/>
          <w:sz w:val="28"/>
          <w:szCs w:val="28"/>
        </w:rPr>
        <w:t>Po roku 1989 w wyniku szeroko prowadzonej zmiany normatywnych podstaw gospodarki narodowej w ramach gospodarki socjalno-rynkowej sektor prywatny wraz z gospodarstwem rodzinnym podniesiono do wiodącej zasady ustrojowej (art. 23 Konstytucji RP) a funkcjonowanie sektora państwowego w rolnictwie zdecydowano się stopniowo wygaszać i przekształcać w przedsiębiorstwa prywatne przy założeniu prywatyzacji gruntów państwowych lub ich długoletniej dzierżawy na rzecz osób prywatnych..</w:t>
      </w:r>
    </w:p>
    <w:p w:rsidR="00516991" w:rsidRDefault="00516991" w:rsidP="00CC131B">
      <w:pPr>
        <w:spacing w:after="0" w:line="360" w:lineRule="auto"/>
        <w:jc w:val="both"/>
        <w:rPr>
          <w:rFonts w:ascii="Times New Roman" w:hAnsi="Times New Roman"/>
          <w:sz w:val="28"/>
          <w:szCs w:val="28"/>
        </w:rPr>
      </w:pPr>
      <w:r>
        <w:rPr>
          <w:rFonts w:ascii="Times New Roman" w:hAnsi="Times New Roman"/>
          <w:sz w:val="28"/>
          <w:szCs w:val="28"/>
        </w:rPr>
        <w:t xml:space="preserve">Polskie rolnictwo i system prawny poza normami dotyczącymi obrotu ziemią, statusu prawnego gospodarstwa rolnego, dziedziczenia w drodze czynności </w:t>
      </w:r>
      <w:r w:rsidRPr="00E74FCA">
        <w:rPr>
          <w:rFonts w:ascii="Times New Roman" w:hAnsi="Times New Roman"/>
          <w:i/>
          <w:sz w:val="28"/>
          <w:szCs w:val="28"/>
        </w:rPr>
        <w:t>mortis causa</w:t>
      </w:r>
      <w:r>
        <w:rPr>
          <w:rFonts w:ascii="Times New Roman" w:hAnsi="Times New Roman"/>
          <w:sz w:val="28"/>
          <w:szCs w:val="28"/>
        </w:rPr>
        <w:t xml:space="preserve"> oraz przekształceń w sferze następstwa w drodze czynności między żyjącymi od ponad 10 lat jest pod wpływem regulacji związanej z oddziaływaniem Wspólnej Polityki Rolnej UE</w:t>
      </w:r>
      <w:r>
        <w:rPr>
          <w:rStyle w:val="Odwoanieprzypisudolnego"/>
          <w:rFonts w:ascii="Times New Roman" w:hAnsi="Times New Roman"/>
          <w:sz w:val="28"/>
          <w:szCs w:val="28"/>
        </w:rPr>
        <w:footnoteReference w:id="17"/>
      </w:r>
      <w:r>
        <w:rPr>
          <w:rFonts w:ascii="Times New Roman" w:hAnsi="Times New Roman"/>
          <w:sz w:val="28"/>
          <w:szCs w:val="28"/>
        </w:rPr>
        <w:t>.</w:t>
      </w:r>
    </w:p>
    <w:p w:rsidR="00516991" w:rsidRDefault="00516991" w:rsidP="00CC131B">
      <w:pPr>
        <w:spacing w:after="0" w:line="360" w:lineRule="auto"/>
        <w:jc w:val="both"/>
        <w:rPr>
          <w:rFonts w:ascii="Times New Roman" w:hAnsi="Times New Roman"/>
          <w:sz w:val="28"/>
          <w:szCs w:val="28"/>
        </w:rPr>
      </w:pPr>
      <w:r>
        <w:rPr>
          <w:rFonts w:ascii="Times New Roman" w:hAnsi="Times New Roman"/>
          <w:sz w:val="28"/>
          <w:szCs w:val="28"/>
        </w:rPr>
        <w:t>Polska jako członek UE i polskie rolnictwo stało się beneficjentem pomocy publicznej dla rolników i obszarów wiejskich udzielanych ze środków krajowych i unijnych. Dla gospodarstw rodzinnych, otoczenia sfery produkcyjnej i przetwórstwa rolnictwa oraz rozwoju obszarów wiejskich przeznaczono w ramach pomocy unijnej ponad 31,5 mld euro, w tym 17 mld na płatności bezpośrednie dla rolników oraz 13,1 mld na program rozwoju obszarów wiejskich a także 1,4 mld na inwestycje rynkowe.</w:t>
      </w:r>
    </w:p>
    <w:p w:rsidR="00516991" w:rsidRDefault="00516991" w:rsidP="00CC131B">
      <w:pPr>
        <w:spacing w:after="0" w:line="360" w:lineRule="auto"/>
        <w:jc w:val="both"/>
        <w:rPr>
          <w:rFonts w:ascii="Times New Roman" w:hAnsi="Times New Roman"/>
          <w:sz w:val="28"/>
          <w:szCs w:val="28"/>
        </w:rPr>
      </w:pPr>
      <w:r>
        <w:rPr>
          <w:rFonts w:ascii="Times New Roman" w:hAnsi="Times New Roman"/>
          <w:sz w:val="28"/>
          <w:szCs w:val="28"/>
        </w:rPr>
        <w:lastRenderedPageBreak/>
        <w:t xml:space="preserve">Mechanizm prawny oddziaływania na cztery czynniki gospodarowania (ziemię, pracę, kapitał i organizacje) pierwotnie nakierowany był zdecydowanie na czynnik ziemi i pracy. Jednakże z czasem zaczął się przesuwać na czynnik kapitałowy i organizacyjny. Istotną rolę odgrywa w tym zakresie krajowy program strukturalny – Program Rozwoju Obszarów Wiejskich PROW który kształtując politykę strukturalną polskiego rolnictwa w blisko 50 obszarach problemowych </w:t>
      </w:r>
      <w:proofErr w:type="spellStart"/>
      <w:r>
        <w:rPr>
          <w:rFonts w:ascii="Times New Roman" w:hAnsi="Times New Roman"/>
          <w:sz w:val="28"/>
          <w:szCs w:val="28"/>
        </w:rPr>
        <w:t>oddziaływuje</w:t>
      </w:r>
      <w:proofErr w:type="spellEnd"/>
      <w:r>
        <w:rPr>
          <w:rFonts w:ascii="Times New Roman" w:hAnsi="Times New Roman"/>
          <w:sz w:val="28"/>
          <w:szCs w:val="28"/>
        </w:rPr>
        <w:t xml:space="preserve"> na przekształcenia polskiego rolnictwa w ramach wypracowywanych w Unii Europejskiej dźwigni ekonomicznych i rozwiązań prawnych.</w:t>
      </w:r>
    </w:p>
    <w:p w:rsidR="00516991" w:rsidRDefault="00516991" w:rsidP="00CC131B">
      <w:pPr>
        <w:spacing w:after="0" w:line="360" w:lineRule="auto"/>
        <w:jc w:val="both"/>
        <w:rPr>
          <w:rFonts w:ascii="Times New Roman" w:hAnsi="Times New Roman"/>
          <w:sz w:val="28"/>
          <w:szCs w:val="28"/>
        </w:rPr>
      </w:pPr>
      <w:r>
        <w:rPr>
          <w:rFonts w:ascii="Times New Roman" w:hAnsi="Times New Roman"/>
          <w:sz w:val="28"/>
          <w:szCs w:val="28"/>
        </w:rPr>
        <w:t>PROW zintegrowany jest z polskim Narodowym Planem Rozwoju.</w:t>
      </w:r>
    </w:p>
    <w:p w:rsidR="00516991" w:rsidRDefault="00516991" w:rsidP="00CC131B">
      <w:pPr>
        <w:spacing w:after="0" w:line="360" w:lineRule="auto"/>
        <w:jc w:val="both"/>
        <w:rPr>
          <w:rFonts w:ascii="Times New Roman" w:hAnsi="Times New Roman"/>
          <w:sz w:val="28"/>
          <w:szCs w:val="28"/>
        </w:rPr>
      </w:pPr>
      <w:r>
        <w:rPr>
          <w:rFonts w:ascii="Times New Roman" w:hAnsi="Times New Roman"/>
          <w:sz w:val="28"/>
          <w:szCs w:val="28"/>
        </w:rPr>
        <w:t xml:space="preserve">Akty prawne prawa unijnego na których bazuje PROW jako rozporządzenia unijne, na zasadzie </w:t>
      </w:r>
      <w:proofErr w:type="spellStart"/>
      <w:r>
        <w:rPr>
          <w:rFonts w:ascii="Times New Roman" w:hAnsi="Times New Roman"/>
          <w:sz w:val="28"/>
          <w:szCs w:val="28"/>
        </w:rPr>
        <w:t>autowykonalności</w:t>
      </w:r>
      <w:proofErr w:type="spellEnd"/>
      <w:r>
        <w:rPr>
          <w:rFonts w:ascii="Times New Roman" w:hAnsi="Times New Roman"/>
          <w:sz w:val="28"/>
          <w:szCs w:val="28"/>
        </w:rPr>
        <w:t xml:space="preserve"> stanowią równocześnie część obowiązującego w Polsce porządku prawnego. </w:t>
      </w:r>
    </w:p>
    <w:p w:rsidR="00516991" w:rsidRDefault="00516991" w:rsidP="00CC131B">
      <w:pPr>
        <w:spacing w:after="0" w:line="360" w:lineRule="auto"/>
        <w:jc w:val="both"/>
        <w:rPr>
          <w:rFonts w:ascii="Times New Roman" w:hAnsi="Times New Roman"/>
          <w:sz w:val="28"/>
          <w:szCs w:val="28"/>
        </w:rPr>
      </w:pPr>
      <w:r>
        <w:rPr>
          <w:rFonts w:ascii="Times New Roman" w:hAnsi="Times New Roman"/>
          <w:sz w:val="28"/>
          <w:szCs w:val="28"/>
        </w:rPr>
        <w:t>Tym samym model rozwojowy gospodarstwa rolnego określony poprzez prawodawstwo unijne stał się również obowiązującym modelem odpowiedzialnym za kształtowanie polskiego gospodarstwa rolnego. Nie wyklucza to jednak przyjmowania przez polskiego prawodawcę rozwiązań prawnych o charakterze strukturalnym które jednak nie powinny być sprzeczne z prawem unijnym, zgodnie ze standardami ustalonymi w drodze orzecznictwa Europejskiego Trybunału Sprawiedliwości.</w:t>
      </w:r>
    </w:p>
    <w:p w:rsidR="00516991" w:rsidRDefault="00516991" w:rsidP="00CC131B">
      <w:pPr>
        <w:spacing w:after="0" w:line="360" w:lineRule="auto"/>
        <w:jc w:val="both"/>
        <w:rPr>
          <w:rFonts w:ascii="Times New Roman" w:hAnsi="Times New Roman"/>
          <w:sz w:val="28"/>
          <w:szCs w:val="28"/>
        </w:rPr>
      </w:pPr>
    </w:p>
    <w:p w:rsidR="00516991" w:rsidRDefault="00E30BB8" w:rsidP="00CC131B">
      <w:pPr>
        <w:spacing w:after="0" w:line="360" w:lineRule="auto"/>
        <w:jc w:val="both"/>
        <w:rPr>
          <w:rFonts w:ascii="Times New Roman" w:hAnsi="Times New Roman"/>
          <w:sz w:val="28"/>
          <w:szCs w:val="28"/>
        </w:rPr>
      </w:pPr>
      <w:r>
        <w:rPr>
          <w:rFonts w:ascii="Times New Roman" w:hAnsi="Times New Roman"/>
          <w:sz w:val="28"/>
          <w:szCs w:val="28"/>
        </w:rPr>
        <w:t>Streszczenie</w:t>
      </w:r>
    </w:p>
    <w:p w:rsidR="00E30BB8" w:rsidRDefault="00E30BB8" w:rsidP="00CC131B">
      <w:pPr>
        <w:spacing w:after="0" w:line="360" w:lineRule="auto"/>
        <w:jc w:val="both"/>
        <w:rPr>
          <w:rFonts w:ascii="Times New Roman" w:hAnsi="Times New Roman"/>
          <w:sz w:val="28"/>
          <w:szCs w:val="28"/>
        </w:rPr>
      </w:pPr>
    </w:p>
    <w:p w:rsidR="00E30BB8" w:rsidRPr="00523F68" w:rsidRDefault="00523F68" w:rsidP="00CC131B">
      <w:pPr>
        <w:spacing w:after="0" w:line="360" w:lineRule="auto"/>
        <w:jc w:val="both"/>
        <w:rPr>
          <w:rFonts w:ascii="Times New Roman" w:hAnsi="Times New Roman"/>
          <w:b/>
          <w:sz w:val="28"/>
          <w:szCs w:val="28"/>
        </w:rPr>
      </w:pPr>
      <w:r w:rsidRPr="00523F68">
        <w:rPr>
          <w:rFonts w:ascii="Times New Roman" w:hAnsi="Times New Roman"/>
          <w:b/>
          <w:sz w:val="28"/>
          <w:szCs w:val="28"/>
        </w:rPr>
        <w:t>Modele prawne kształtujące gospodarstwo rolne</w:t>
      </w:r>
    </w:p>
    <w:p w:rsidR="00523F68" w:rsidRDefault="00523F68" w:rsidP="00CC131B">
      <w:pPr>
        <w:spacing w:after="0" w:line="360" w:lineRule="auto"/>
        <w:jc w:val="both"/>
        <w:rPr>
          <w:rFonts w:ascii="Times New Roman" w:hAnsi="Times New Roman"/>
          <w:sz w:val="28"/>
          <w:szCs w:val="28"/>
        </w:rPr>
      </w:pPr>
    </w:p>
    <w:p w:rsidR="00523F68" w:rsidRDefault="00523F68" w:rsidP="00CC131B">
      <w:pPr>
        <w:spacing w:after="0" w:line="360" w:lineRule="auto"/>
        <w:jc w:val="both"/>
        <w:rPr>
          <w:rFonts w:ascii="Times New Roman" w:hAnsi="Times New Roman"/>
          <w:sz w:val="28"/>
          <w:szCs w:val="28"/>
        </w:rPr>
      </w:pPr>
      <w:r>
        <w:rPr>
          <w:rFonts w:ascii="Times New Roman" w:hAnsi="Times New Roman"/>
          <w:sz w:val="28"/>
          <w:szCs w:val="28"/>
        </w:rPr>
        <w:t xml:space="preserve">Przedstawiona problematyka dotyczy analizy modeli interwencjonizmu w rolnictwie oddziaływujących na podstawowe czynniki produkcji w rolnictwie takie jak: ziemia, praca, kapitał i organizacja. Analiza zaprezentowana w artykule dotyczy modelu amerykańskiego, modelu Unii Europejskiej oraz </w:t>
      </w:r>
      <w:r>
        <w:rPr>
          <w:rFonts w:ascii="Times New Roman" w:hAnsi="Times New Roman"/>
          <w:sz w:val="28"/>
          <w:szCs w:val="28"/>
        </w:rPr>
        <w:lastRenderedPageBreak/>
        <w:t xml:space="preserve">modelu </w:t>
      </w:r>
      <w:proofErr w:type="spellStart"/>
      <w:r>
        <w:rPr>
          <w:rFonts w:ascii="Times New Roman" w:hAnsi="Times New Roman"/>
          <w:sz w:val="28"/>
          <w:szCs w:val="28"/>
        </w:rPr>
        <w:t>kolektywizacyjnego</w:t>
      </w:r>
      <w:proofErr w:type="spellEnd"/>
      <w:r>
        <w:rPr>
          <w:rFonts w:ascii="Times New Roman" w:hAnsi="Times New Roman"/>
          <w:sz w:val="28"/>
          <w:szCs w:val="28"/>
        </w:rPr>
        <w:t xml:space="preserve">. </w:t>
      </w:r>
      <w:r w:rsidR="006C0F24">
        <w:rPr>
          <w:rFonts w:ascii="Times New Roman" w:hAnsi="Times New Roman"/>
          <w:sz w:val="28"/>
          <w:szCs w:val="28"/>
        </w:rPr>
        <w:t>Przedstawiono również model kształtujący gospodarstwa rolne obowiązujący w Polsce, który nawiązuje</w:t>
      </w:r>
      <w:bookmarkStart w:id="0" w:name="_GoBack"/>
      <w:bookmarkEnd w:id="0"/>
      <w:r w:rsidR="006C0F24">
        <w:rPr>
          <w:rFonts w:ascii="Times New Roman" w:hAnsi="Times New Roman"/>
          <w:sz w:val="28"/>
          <w:szCs w:val="28"/>
        </w:rPr>
        <w:t xml:space="preserve"> zdecydowanie do modelu wykrystalizowanego na gruncie prawa Unii Europejskiej. </w:t>
      </w:r>
    </w:p>
    <w:p w:rsidR="00516991" w:rsidRDefault="00516991" w:rsidP="00CC131B">
      <w:pPr>
        <w:spacing w:after="0" w:line="360" w:lineRule="auto"/>
        <w:jc w:val="both"/>
        <w:rPr>
          <w:rFonts w:ascii="Times New Roman" w:hAnsi="Times New Roman"/>
          <w:sz w:val="28"/>
          <w:szCs w:val="28"/>
        </w:rPr>
      </w:pPr>
    </w:p>
    <w:sectPr w:rsidR="00516991" w:rsidSect="00477EF2">
      <w:footerReference w:type="default" r:id="rId1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37EB" w:rsidRDefault="00F937EB" w:rsidP="00326918">
      <w:pPr>
        <w:spacing w:after="0" w:line="240" w:lineRule="auto"/>
      </w:pPr>
      <w:r>
        <w:separator/>
      </w:r>
    </w:p>
  </w:endnote>
  <w:endnote w:type="continuationSeparator" w:id="0">
    <w:p w:rsidR="00F937EB" w:rsidRDefault="00F937EB" w:rsidP="003269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991" w:rsidRDefault="00B12434">
    <w:pPr>
      <w:pStyle w:val="Stopka"/>
      <w:jc w:val="right"/>
    </w:pPr>
    <w:r>
      <w:fldChar w:fldCharType="begin"/>
    </w:r>
    <w:r w:rsidR="00DB6202">
      <w:instrText>PAGE   \* MERGEFORMAT</w:instrText>
    </w:r>
    <w:r>
      <w:fldChar w:fldCharType="separate"/>
    </w:r>
    <w:r w:rsidR="003000AA">
      <w:rPr>
        <w:noProof/>
      </w:rPr>
      <w:t>2</w:t>
    </w:r>
    <w:r>
      <w:rPr>
        <w:noProof/>
      </w:rPr>
      <w:fldChar w:fldCharType="end"/>
    </w:r>
  </w:p>
  <w:p w:rsidR="00516991" w:rsidRDefault="00516991">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37EB" w:rsidRDefault="00F937EB" w:rsidP="00326918">
      <w:pPr>
        <w:spacing w:after="0" w:line="240" w:lineRule="auto"/>
      </w:pPr>
      <w:r>
        <w:separator/>
      </w:r>
    </w:p>
  </w:footnote>
  <w:footnote w:type="continuationSeparator" w:id="0">
    <w:p w:rsidR="00F937EB" w:rsidRDefault="00F937EB" w:rsidP="00326918">
      <w:pPr>
        <w:spacing w:after="0" w:line="240" w:lineRule="auto"/>
      </w:pPr>
      <w:r>
        <w:continuationSeparator/>
      </w:r>
    </w:p>
  </w:footnote>
  <w:footnote w:id="1">
    <w:p w:rsidR="00516991" w:rsidRDefault="00516991" w:rsidP="00326918">
      <w:pPr>
        <w:pStyle w:val="Tekstprzypisudolnego"/>
        <w:jc w:val="both"/>
      </w:pPr>
      <w:r>
        <w:rPr>
          <w:rStyle w:val="Odwoanieprzypisudolnego"/>
        </w:rPr>
        <w:footnoteRef/>
      </w:r>
      <w:r>
        <w:rPr>
          <w:rFonts w:ascii="Times New Roman" w:hAnsi="Times New Roman"/>
        </w:rPr>
        <w:t xml:space="preserve">A. Stelmachowski. Modele prawnych instrumentów polityki rolnej [w:] Prawo rolne, red. A. Stelmachowski. Warszawa 2009, s. 38 i n.; </w:t>
      </w:r>
      <w:proofErr w:type="spellStart"/>
      <w:r>
        <w:rPr>
          <w:rFonts w:ascii="Times New Roman" w:hAnsi="Times New Roman"/>
        </w:rPr>
        <w:t>F.Tomczak</w:t>
      </w:r>
      <w:proofErr w:type="spellEnd"/>
      <w:r>
        <w:rPr>
          <w:rFonts w:ascii="Times New Roman" w:hAnsi="Times New Roman"/>
        </w:rPr>
        <w:t xml:space="preserve"> Gospodarka rodzinna w rolnictwie. Uwarunkowania i mechanizmy rozwoju, Warszawa 2006, s. 193 – 249.</w:t>
      </w:r>
    </w:p>
  </w:footnote>
  <w:footnote w:id="2">
    <w:p w:rsidR="00516991" w:rsidRDefault="00516991" w:rsidP="008E0791">
      <w:pPr>
        <w:pStyle w:val="Tekstprzypisudolnego"/>
        <w:jc w:val="both"/>
      </w:pPr>
      <w:r>
        <w:rPr>
          <w:rStyle w:val="Odwoanieprzypisudolnego"/>
        </w:rPr>
        <w:footnoteRef/>
      </w:r>
      <w:r>
        <w:rPr>
          <w:rFonts w:ascii="Times New Roman" w:hAnsi="Times New Roman"/>
        </w:rPr>
        <w:t xml:space="preserve">Por. A. Stelmachowski. Kształtowanie się rolnictwa i prawa rolnego w Polsce (Rys historyczny) [w:] Polskie prawo rolne na tle ustawodawstwa Unii Europejskiej, P. Czechowski, M. </w:t>
      </w:r>
      <w:proofErr w:type="spellStart"/>
      <w:r>
        <w:rPr>
          <w:rFonts w:ascii="Times New Roman" w:hAnsi="Times New Roman"/>
        </w:rPr>
        <w:t>Korzycka-Iwanow</w:t>
      </w:r>
      <w:proofErr w:type="spellEnd"/>
      <w:r>
        <w:rPr>
          <w:rFonts w:ascii="Times New Roman" w:hAnsi="Times New Roman"/>
        </w:rPr>
        <w:t xml:space="preserve">, S. </w:t>
      </w:r>
      <w:proofErr w:type="spellStart"/>
      <w:r>
        <w:rPr>
          <w:rFonts w:ascii="Times New Roman" w:hAnsi="Times New Roman"/>
        </w:rPr>
        <w:t>Prutis</w:t>
      </w:r>
      <w:proofErr w:type="spellEnd"/>
      <w:r>
        <w:rPr>
          <w:rFonts w:ascii="Times New Roman" w:hAnsi="Times New Roman"/>
        </w:rPr>
        <w:t>, A. Stelmachowski. Warszawa 1997, s. 26-27.</w:t>
      </w:r>
    </w:p>
  </w:footnote>
  <w:footnote w:id="3">
    <w:p w:rsidR="00516991" w:rsidRDefault="00516991" w:rsidP="000A394B">
      <w:pPr>
        <w:pStyle w:val="Tekstprzypisudolnego"/>
        <w:jc w:val="both"/>
      </w:pPr>
      <w:r w:rsidRPr="000A394B">
        <w:rPr>
          <w:rStyle w:val="Odwoanieprzypisudolnego"/>
          <w:rFonts w:ascii="Times New Roman" w:hAnsi="Times New Roman"/>
        </w:rPr>
        <w:footnoteRef/>
      </w:r>
      <w:r w:rsidRPr="000A394B">
        <w:rPr>
          <w:rFonts w:ascii="Times New Roman" w:hAnsi="Times New Roman"/>
        </w:rPr>
        <w:t xml:space="preserve"> A. Smith. Badania nad naturą i przyczynami bogactwa narodów. Warszawa 1954, s. 9 i n. D. Ricardo. Zasady</w:t>
      </w:r>
      <w:r>
        <w:rPr>
          <w:rFonts w:ascii="Times New Roman" w:hAnsi="Times New Roman"/>
        </w:rPr>
        <w:t xml:space="preserve"> ekonomii politycznej i opodatkowania. Warszawa 1957 s. 89 i n.</w:t>
      </w:r>
    </w:p>
  </w:footnote>
  <w:footnote w:id="4">
    <w:p w:rsidR="00516991" w:rsidRDefault="00516991" w:rsidP="000A394B">
      <w:pPr>
        <w:pStyle w:val="Tekstprzypisudolnego"/>
        <w:jc w:val="both"/>
      </w:pPr>
      <w:r>
        <w:rPr>
          <w:rStyle w:val="Odwoanieprzypisudolnego"/>
        </w:rPr>
        <w:footnoteRef/>
      </w:r>
      <w:r>
        <w:rPr>
          <w:rFonts w:ascii="Times New Roman" w:hAnsi="Times New Roman"/>
        </w:rPr>
        <w:t xml:space="preserve">J. M. </w:t>
      </w:r>
      <w:proofErr w:type="spellStart"/>
      <w:r>
        <w:rPr>
          <w:rFonts w:ascii="Times New Roman" w:hAnsi="Times New Roman"/>
        </w:rPr>
        <w:t>Keyns</w:t>
      </w:r>
      <w:proofErr w:type="spellEnd"/>
      <w:r>
        <w:rPr>
          <w:rFonts w:ascii="Times New Roman" w:hAnsi="Times New Roman"/>
        </w:rPr>
        <w:t xml:space="preserve">. Ogólna teoria zatrudnienia, procentu i pieniądza. </w:t>
      </w:r>
    </w:p>
  </w:footnote>
  <w:footnote w:id="5">
    <w:p w:rsidR="00516991" w:rsidRPr="00E30BB8" w:rsidRDefault="00516991">
      <w:pPr>
        <w:pStyle w:val="Tekstprzypisudolnego"/>
        <w:rPr>
          <w:lang w:val="en-US"/>
        </w:rPr>
      </w:pPr>
      <w:r w:rsidRPr="001F0ABA">
        <w:rPr>
          <w:rStyle w:val="Odwoanieprzypisudolnego"/>
          <w:rFonts w:ascii="Times New Roman" w:hAnsi="Times New Roman"/>
        </w:rPr>
        <w:footnoteRef/>
      </w:r>
      <w:r w:rsidRPr="001F0ABA">
        <w:rPr>
          <w:rFonts w:ascii="Times New Roman" w:hAnsi="Times New Roman"/>
          <w:lang w:val="en-US"/>
        </w:rPr>
        <w:t xml:space="preserve"> Por. Agricultural Adjustment Act z 12 </w:t>
      </w:r>
      <w:proofErr w:type="spellStart"/>
      <w:r w:rsidRPr="001F0ABA">
        <w:rPr>
          <w:rFonts w:ascii="Times New Roman" w:hAnsi="Times New Roman"/>
          <w:lang w:val="en-US"/>
        </w:rPr>
        <w:t>maja</w:t>
      </w:r>
      <w:proofErr w:type="spellEnd"/>
      <w:r w:rsidRPr="001F0ABA">
        <w:rPr>
          <w:rFonts w:ascii="Times New Roman" w:hAnsi="Times New Roman"/>
          <w:lang w:val="en-US"/>
        </w:rPr>
        <w:t xml:space="preserve"> 1933 r.</w:t>
      </w:r>
    </w:p>
  </w:footnote>
  <w:footnote w:id="6">
    <w:p w:rsidR="00516991" w:rsidRDefault="00516991">
      <w:pPr>
        <w:pStyle w:val="Tekstprzypisudolnego"/>
      </w:pPr>
      <w:r w:rsidRPr="00731CA0">
        <w:rPr>
          <w:rStyle w:val="Odwoanieprzypisudolnego"/>
          <w:rFonts w:ascii="Times New Roman" w:hAnsi="Times New Roman"/>
        </w:rPr>
        <w:footnoteRef/>
      </w:r>
      <w:proofErr w:type="spellStart"/>
      <w:r w:rsidRPr="00731CA0">
        <w:rPr>
          <w:rFonts w:ascii="Times New Roman" w:hAnsi="Times New Roman"/>
        </w:rPr>
        <w:t>CommodityCreditCorporation</w:t>
      </w:r>
      <w:proofErr w:type="spellEnd"/>
    </w:p>
  </w:footnote>
  <w:footnote w:id="7">
    <w:p w:rsidR="00516991" w:rsidRDefault="00516991" w:rsidP="00731CA0">
      <w:pPr>
        <w:pStyle w:val="Tekstprzypisudolnego"/>
        <w:jc w:val="both"/>
      </w:pPr>
      <w:r w:rsidRPr="00731CA0">
        <w:rPr>
          <w:rStyle w:val="Odwoanieprzypisudolnego"/>
          <w:rFonts w:ascii="Times New Roman" w:hAnsi="Times New Roman"/>
        </w:rPr>
        <w:footnoteRef/>
      </w:r>
      <w:r>
        <w:rPr>
          <w:rFonts w:ascii="Times New Roman" w:hAnsi="Times New Roman"/>
        </w:rPr>
        <w:t>A. Stelmachowski. Modele prawnych instrumentów polityki rolnej [w:] Prawo rolne, red. A. Stelmachowski. Warszawa 2009, s. 50-51.</w:t>
      </w:r>
    </w:p>
  </w:footnote>
  <w:footnote w:id="8">
    <w:p w:rsidR="00516991" w:rsidRDefault="00516991" w:rsidP="00C34B88">
      <w:pPr>
        <w:pStyle w:val="Tekstprzypisudolnego"/>
        <w:jc w:val="both"/>
      </w:pPr>
      <w:r w:rsidRPr="00C34B88">
        <w:rPr>
          <w:rStyle w:val="Odwoanieprzypisudolnego"/>
          <w:rFonts w:ascii="Times New Roman" w:hAnsi="Times New Roman"/>
        </w:rPr>
        <w:footnoteRef/>
      </w:r>
      <w:r>
        <w:rPr>
          <w:rFonts w:ascii="Times New Roman" w:hAnsi="Times New Roman"/>
        </w:rPr>
        <w:t xml:space="preserve">K. </w:t>
      </w:r>
      <w:proofErr w:type="spellStart"/>
      <w:r>
        <w:rPr>
          <w:rFonts w:ascii="Times New Roman" w:hAnsi="Times New Roman"/>
        </w:rPr>
        <w:t>Marciniuk</w:t>
      </w:r>
      <w:proofErr w:type="spellEnd"/>
      <w:r>
        <w:rPr>
          <w:rFonts w:ascii="Times New Roman" w:hAnsi="Times New Roman"/>
        </w:rPr>
        <w:t xml:space="preserve">. Interwencjonizm amerykański [w:] Prawo rolne pod. Red. P. Czechowskiego. Warszawa 2013, s. 58-60. Por. także </w:t>
      </w:r>
      <w:proofErr w:type="spellStart"/>
      <w:r>
        <w:rPr>
          <w:rFonts w:ascii="Times New Roman" w:hAnsi="Times New Roman"/>
        </w:rPr>
        <w:t>Food</w:t>
      </w:r>
      <w:proofErr w:type="spellEnd"/>
      <w:r>
        <w:rPr>
          <w:rFonts w:ascii="Times New Roman" w:hAnsi="Times New Roman"/>
        </w:rPr>
        <w:t xml:space="preserve"> </w:t>
      </w:r>
      <w:proofErr w:type="spellStart"/>
      <w:r>
        <w:rPr>
          <w:rFonts w:ascii="Times New Roman" w:hAnsi="Times New Roman"/>
        </w:rPr>
        <w:t>C</w:t>
      </w:r>
      <w:r w:rsidR="00E30BB8">
        <w:rPr>
          <w:rFonts w:ascii="Times New Roman" w:hAnsi="Times New Roman"/>
        </w:rPr>
        <w:t>onserwation</w:t>
      </w:r>
      <w:proofErr w:type="spellEnd"/>
      <w:r w:rsidR="00E30BB8">
        <w:rPr>
          <w:rFonts w:ascii="Times New Roman" w:hAnsi="Times New Roman"/>
        </w:rPr>
        <w:t xml:space="preserve"> and </w:t>
      </w:r>
      <w:proofErr w:type="spellStart"/>
      <w:r w:rsidR="00E30BB8">
        <w:rPr>
          <w:rFonts w:ascii="Times New Roman" w:hAnsi="Times New Roman"/>
        </w:rPr>
        <w:t>EnergyAct</w:t>
      </w:r>
      <w:proofErr w:type="spellEnd"/>
      <w:r w:rsidR="00E30BB8">
        <w:rPr>
          <w:rFonts w:ascii="Times New Roman" w:hAnsi="Times New Roman"/>
        </w:rPr>
        <w:t xml:space="preserve"> – 2014</w:t>
      </w:r>
      <w:r>
        <w:rPr>
          <w:rFonts w:ascii="Times New Roman" w:hAnsi="Times New Roman"/>
        </w:rPr>
        <w:t>) oraz M. Drygas. Amerykański Farm Bill – 2008 i WPR Wspólnej Polityki Rolnej po 2013 r. Warszawa 2009.</w:t>
      </w:r>
    </w:p>
  </w:footnote>
  <w:footnote w:id="9">
    <w:p w:rsidR="00516991" w:rsidRDefault="00516991">
      <w:pPr>
        <w:pStyle w:val="Tekstprzypisudolnego"/>
      </w:pPr>
      <w:r w:rsidRPr="00553A64">
        <w:rPr>
          <w:rStyle w:val="Odwoanieprzypisudolnego"/>
        </w:rPr>
        <w:footnoteRef/>
      </w:r>
      <w:r w:rsidR="00E30BB8">
        <w:rPr>
          <w:rFonts w:ascii="Times New Roman" w:hAnsi="Times New Roman"/>
        </w:rPr>
        <w:t xml:space="preserve">K. </w:t>
      </w:r>
      <w:proofErr w:type="spellStart"/>
      <w:r w:rsidR="00E30BB8">
        <w:rPr>
          <w:rFonts w:ascii="Times New Roman" w:hAnsi="Times New Roman"/>
        </w:rPr>
        <w:t>Marciniuk</w:t>
      </w:r>
      <w:proofErr w:type="spellEnd"/>
      <w:r w:rsidR="00E30BB8">
        <w:rPr>
          <w:rFonts w:ascii="Times New Roman" w:hAnsi="Times New Roman"/>
        </w:rPr>
        <w:t>. Interwencjonizm amerykański [w:] Prawo rolne pod. Red. P. Czechowskiego. Warszawa 2013, s. 58-60.</w:t>
      </w:r>
    </w:p>
  </w:footnote>
  <w:footnote w:id="10">
    <w:p w:rsidR="00516991" w:rsidRDefault="00516991" w:rsidP="00F97419">
      <w:pPr>
        <w:pStyle w:val="Tekstprzypisudolnego"/>
        <w:jc w:val="both"/>
      </w:pPr>
      <w:r w:rsidRPr="00F97419">
        <w:rPr>
          <w:rStyle w:val="Odwoanieprzypisudolnego"/>
          <w:rFonts w:ascii="Times New Roman" w:hAnsi="Times New Roman"/>
        </w:rPr>
        <w:footnoteRef/>
      </w:r>
      <w:r>
        <w:rPr>
          <w:rFonts w:ascii="Times New Roman" w:hAnsi="Times New Roman"/>
        </w:rPr>
        <w:t xml:space="preserve">A. </w:t>
      </w:r>
      <w:proofErr w:type="spellStart"/>
      <w:r>
        <w:rPr>
          <w:rFonts w:ascii="Times New Roman" w:hAnsi="Times New Roman"/>
        </w:rPr>
        <w:t>Lichorowicz</w:t>
      </w:r>
      <w:proofErr w:type="spellEnd"/>
      <w:r>
        <w:rPr>
          <w:rFonts w:ascii="Times New Roman" w:hAnsi="Times New Roman"/>
        </w:rPr>
        <w:t>. Status prawny gospodarstw rodzinnych w ustawodawstwie krajów Europy Zachodniej. Warszawa 2000 r.</w:t>
      </w:r>
    </w:p>
  </w:footnote>
  <w:footnote w:id="11">
    <w:p w:rsidR="00516991" w:rsidRDefault="00516991" w:rsidP="0096202D">
      <w:pPr>
        <w:pStyle w:val="Tekstprzypisudolnego"/>
        <w:jc w:val="both"/>
      </w:pPr>
      <w:r w:rsidRPr="0096202D">
        <w:rPr>
          <w:rStyle w:val="Odwoanieprzypisudolnego"/>
          <w:rFonts w:ascii="Times New Roman" w:hAnsi="Times New Roman"/>
        </w:rPr>
        <w:footnoteRef/>
      </w:r>
      <w:r>
        <w:rPr>
          <w:rFonts w:ascii="Times New Roman" w:hAnsi="Times New Roman"/>
        </w:rPr>
        <w:t>Por. Dyrektywa w sprawie modernizacji gospodarstw rolnych 75/159 czy też rozporządzenie w sprawie zwiększenia efektywności struktur rolnych nr 797/85 i 2328/91.</w:t>
      </w:r>
    </w:p>
  </w:footnote>
  <w:footnote w:id="12">
    <w:p w:rsidR="00516991" w:rsidRDefault="00516991">
      <w:pPr>
        <w:pStyle w:val="Tekstprzypisudolnego"/>
      </w:pPr>
      <w:r w:rsidRPr="0096202D">
        <w:rPr>
          <w:rStyle w:val="Odwoanieprzypisudolnego"/>
          <w:rFonts w:ascii="Times New Roman" w:hAnsi="Times New Roman"/>
        </w:rPr>
        <w:footnoteRef/>
      </w:r>
      <w:r>
        <w:rPr>
          <w:rFonts w:ascii="Times New Roman" w:hAnsi="Times New Roman"/>
        </w:rPr>
        <w:t xml:space="preserve">P. Czechowski. Proces dostosowania polskiego prawa rolnego i prawa żywnościowego do prawa Unii Europejskiej. </w:t>
      </w:r>
      <w:r w:rsidRPr="00E30BB8">
        <w:rPr>
          <w:rFonts w:ascii="Times New Roman" w:hAnsi="Times New Roman"/>
        </w:rPr>
        <w:t>Warszawa 2001, s. 124-200.</w:t>
      </w:r>
    </w:p>
  </w:footnote>
  <w:footnote w:id="13">
    <w:p w:rsidR="00516991" w:rsidRDefault="00516991">
      <w:pPr>
        <w:pStyle w:val="Tekstprzypisudolnego"/>
      </w:pPr>
      <w:r w:rsidRPr="00E30BB8">
        <w:rPr>
          <w:rStyle w:val="Odwoanieprzypisudolnego"/>
          <w:rFonts w:ascii="Times New Roman" w:hAnsi="Times New Roman"/>
        </w:rPr>
        <w:footnoteRef/>
      </w:r>
      <w:r w:rsidR="00E30BB8" w:rsidRPr="00E30BB8">
        <w:rPr>
          <w:rFonts w:ascii="Times New Roman" w:hAnsi="Times New Roman"/>
        </w:rPr>
        <w:t xml:space="preserve"> P. Czechowski, A. Niewiadomski, Europejskie rynki rolne, [w:] Prawo rolne, P. Czechowski red., Warszawa 2013, s. 363-379.</w:t>
      </w:r>
    </w:p>
  </w:footnote>
  <w:footnote w:id="14">
    <w:p w:rsidR="00516991" w:rsidRDefault="00516991">
      <w:pPr>
        <w:pStyle w:val="Tekstprzypisudolnego"/>
      </w:pPr>
      <w:r w:rsidRPr="00881AF4">
        <w:rPr>
          <w:rStyle w:val="Odwoanieprzypisudolnego"/>
          <w:rFonts w:ascii="Times New Roman" w:hAnsi="Times New Roman"/>
        </w:rPr>
        <w:footnoteRef/>
      </w:r>
      <w:r>
        <w:rPr>
          <w:rFonts w:ascii="Times New Roman" w:hAnsi="Times New Roman"/>
        </w:rPr>
        <w:t>Por. Wyrok ETS nr 85/77.</w:t>
      </w:r>
    </w:p>
  </w:footnote>
  <w:footnote w:id="15">
    <w:p w:rsidR="00516991" w:rsidRDefault="00516991">
      <w:pPr>
        <w:pStyle w:val="Tekstprzypisudolnego"/>
      </w:pPr>
      <w:r w:rsidRPr="00091350">
        <w:rPr>
          <w:rStyle w:val="Odwoanieprzypisudolnego"/>
          <w:rFonts w:ascii="Times New Roman" w:hAnsi="Times New Roman"/>
        </w:rPr>
        <w:footnoteRef/>
      </w:r>
      <w:r>
        <w:rPr>
          <w:rFonts w:ascii="Times New Roman" w:hAnsi="Times New Roman"/>
        </w:rPr>
        <w:t>Por. P. Czechowski. Proces dostosowania…, op. cit., s. 127 i n.</w:t>
      </w:r>
    </w:p>
  </w:footnote>
  <w:footnote w:id="16">
    <w:p w:rsidR="00516991" w:rsidRDefault="00516991">
      <w:pPr>
        <w:pStyle w:val="Tekstprzypisudolnego"/>
      </w:pPr>
      <w:r w:rsidRPr="00091350">
        <w:rPr>
          <w:rStyle w:val="Odwoanieprzypisudolnego"/>
          <w:rFonts w:ascii="Times New Roman" w:hAnsi="Times New Roman"/>
        </w:rPr>
        <w:footnoteRef/>
      </w:r>
      <w:r>
        <w:rPr>
          <w:rFonts w:ascii="Times New Roman" w:hAnsi="Times New Roman"/>
        </w:rPr>
        <w:t>Por. P. Czechowski. Proces dostosowania…, op. cit., s. 127 i n.</w:t>
      </w:r>
    </w:p>
  </w:footnote>
  <w:footnote w:id="17">
    <w:p w:rsidR="00516991" w:rsidRDefault="00516991">
      <w:pPr>
        <w:pStyle w:val="Tekstprzypisudolnego"/>
      </w:pPr>
      <w:r w:rsidRPr="008E74F7">
        <w:rPr>
          <w:rStyle w:val="Odwoanieprzypisudolnego"/>
          <w:rFonts w:ascii="Times New Roman" w:hAnsi="Times New Roman"/>
        </w:rPr>
        <w:footnoteRef/>
      </w:r>
      <w:r>
        <w:rPr>
          <w:rFonts w:ascii="Times New Roman" w:hAnsi="Times New Roman"/>
        </w:rPr>
        <w:t>10 lat Polski w UE. Osiągnięcia w gospodarce rolno-żywnościowej i na obszarach wiejskich. Warszawa 2014, s. 13.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D5D60"/>
    <w:multiLevelType w:val="hybridMultilevel"/>
    <w:tmpl w:val="41364144"/>
    <w:lvl w:ilvl="0" w:tplc="EDB4D9D4">
      <w:start w:val="1"/>
      <w:numFmt w:val="decimal"/>
      <w:lvlText w:val="%1."/>
      <w:lvlJc w:val="left"/>
      <w:pPr>
        <w:ind w:left="1065" w:hanging="360"/>
      </w:pPr>
      <w:rPr>
        <w:rFonts w:cs="Times New Roman" w:hint="default"/>
        <w:b/>
      </w:rPr>
    </w:lvl>
    <w:lvl w:ilvl="1" w:tplc="04150019" w:tentative="1">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2B42BD"/>
    <w:rsid w:val="00066D99"/>
    <w:rsid w:val="00091350"/>
    <w:rsid w:val="000A394B"/>
    <w:rsid w:val="000C23CD"/>
    <w:rsid w:val="000C581B"/>
    <w:rsid w:val="001068C6"/>
    <w:rsid w:val="001A282D"/>
    <w:rsid w:val="001F0ABA"/>
    <w:rsid w:val="002651F3"/>
    <w:rsid w:val="002B42BD"/>
    <w:rsid w:val="003000AA"/>
    <w:rsid w:val="00317367"/>
    <w:rsid w:val="00326918"/>
    <w:rsid w:val="003302CE"/>
    <w:rsid w:val="003F73A1"/>
    <w:rsid w:val="00477EF2"/>
    <w:rsid w:val="00486A58"/>
    <w:rsid w:val="00516991"/>
    <w:rsid w:val="00523F68"/>
    <w:rsid w:val="00553A64"/>
    <w:rsid w:val="006C0F24"/>
    <w:rsid w:val="006D11E4"/>
    <w:rsid w:val="0072323F"/>
    <w:rsid w:val="00731CA0"/>
    <w:rsid w:val="00750A3D"/>
    <w:rsid w:val="00774AFB"/>
    <w:rsid w:val="00881AF4"/>
    <w:rsid w:val="008E0791"/>
    <w:rsid w:val="008E74F7"/>
    <w:rsid w:val="0096202D"/>
    <w:rsid w:val="00975272"/>
    <w:rsid w:val="00A74EFA"/>
    <w:rsid w:val="00A75AB3"/>
    <w:rsid w:val="00B12434"/>
    <w:rsid w:val="00B22AC0"/>
    <w:rsid w:val="00B47B0B"/>
    <w:rsid w:val="00B656A2"/>
    <w:rsid w:val="00BC5E80"/>
    <w:rsid w:val="00C132C6"/>
    <w:rsid w:val="00C34B88"/>
    <w:rsid w:val="00CC131B"/>
    <w:rsid w:val="00DB6202"/>
    <w:rsid w:val="00DF7F3B"/>
    <w:rsid w:val="00E30BB8"/>
    <w:rsid w:val="00E74FCA"/>
    <w:rsid w:val="00EF0CED"/>
    <w:rsid w:val="00F30703"/>
    <w:rsid w:val="00F937EB"/>
    <w:rsid w:val="00F97419"/>
    <w:rsid w:val="00FE1F0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77EF2"/>
    <w:pPr>
      <w:spacing w:after="200" w:line="276" w:lineRule="auto"/>
    </w:pPr>
    <w:rPr>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99"/>
    <w:qFormat/>
    <w:rsid w:val="00326918"/>
    <w:pPr>
      <w:ind w:left="720"/>
      <w:contextualSpacing/>
    </w:pPr>
  </w:style>
  <w:style w:type="paragraph" w:styleId="Tekstprzypisudolnego">
    <w:name w:val="footnote text"/>
    <w:basedOn w:val="Normalny"/>
    <w:link w:val="TekstprzypisudolnegoZnak"/>
    <w:uiPriority w:val="99"/>
    <w:semiHidden/>
    <w:rsid w:val="00326918"/>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locked/>
    <w:rsid w:val="00326918"/>
    <w:rPr>
      <w:rFonts w:cs="Times New Roman"/>
      <w:sz w:val="20"/>
      <w:szCs w:val="20"/>
    </w:rPr>
  </w:style>
  <w:style w:type="character" w:styleId="Odwoanieprzypisudolnego">
    <w:name w:val="footnote reference"/>
    <w:basedOn w:val="Domylnaczcionkaakapitu"/>
    <w:uiPriority w:val="99"/>
    <w:semiHidden/>
    <w:rsid w:val="00326918"/>
    <w:rPr>
      <w:rFonts w:cs="Times New Roman"/>
      <w:vertAlign w:val="superscript"/>
    </w:rPr>
  </w:style>
  <w:style w:type="paragraph" w:styleId="Nagwek">
    <w:name w:val="header"/>
    <w:basedOn w:val="Normalny"/>
    <w:link w:val="NagwekZnak"/>
    <w:uiPriority w:val="99"/>
    <w:rsid w:val="00F30703"/>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F30703"/>
    <w:rPr>
      <w:rFonts w:cs="Times New Roman"/>
    </w:rPr>
  </w:style>
  <w:style w:type="paragraph" w:styleId="Stopka">
    <w:name w:val="footer"/>
    <w:basedOn w:val="Normalny"/>
    <w:link w:val="StopkaZnak"/>
    <w:uiPriority w:val="99"/>
    <w:rsid w:val="00F30703"/>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F30703"/>
    <w:rPr>
      <w:rFonts w:cs="Times New Roman"/>
    </w:rPr>
  </w:style>
  <w:style w:type="paragraph" w:customStyle="1" w:styleId="Akapitzlist1">
    <w:name w:val="Akapit z listą1"/>
    <w:basedOn w:val="Normalny"/>
    <w:rsid w:val="003000AA"/>
    <w:pPr>
      <w:ind w:left="720"/>
      <w:contextualSpacing/>
    </w:pPr>
    <w:rPr>
      <w:rFonts w:eastAsia="Times New Roman"/>
    </w:rPr>
  </w:style>
  <w:style w:type="paragraph" w:customStyle="1" w:styleId="Akapitzlist51">
    <w:name w:val="Akapit z listą51"/>
    <w:basedOn w:val="Normalny"/>
    <w:rsid w:val="003000AA"/>
    <w:pPr>
      <w:suppressAutoHyphens/>
      <w:spacing w:after="0" w:line="240" w:lineRule="auto"/>
      <w:ind w:left="720"/>
      <w:contextualSpacing/>
    </w:pPr>
    <w:rPr>
      <w:rFonts w:ascii="Times New Roman" w:eastAsia="Times New Roman" w:hAnsi="Times New Roman"/>
      <w:sz w:val="20"/>
      <w:szCs w:val="20"/>
      <w:lang w:eastAsia="ar-SA"/>
    </w:rPr>
  </w:style>
  <w:style w:type="paragraph" w:styleId="Tekstdymka">
    <w:name w:val="Balloon Text"/>
    <w:basedOn w:val="Normalny"/>
    <w:link w:val="TekstdymkaZnak"/>
    <w:uiPriority w:val="99"/>
    <w:semiHidden/>
    <w:unhideWhenUsed/>
    <w:rsid w:val="003000A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000AA"/>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83958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2175</Words>
  <Characters>13050</Characters>
  <Application>Microsoft Office Word</Application>
  <DocSecurity>0</DocSecurity>
  <Lines>108</Lines>
  <Paragraphs>30</Paragraphs>
  <ScaleCrop>false</ScaleCrop>
  <HeadingPairs>
    <vt:vector size="2" baseType="variant">
      <vt:variant>
        <vt:lpstr>Tytuł</vt:lpstr>
      </vt:variant>
      <vt:variant>
        <vt:i4>1</vt:i4>
      </vt:variant>
    </vt:vector>
  </HeadingPairs>
  <TitlesOfParts>
    <vt:vector size="1" baseType="lpstr">
      <vt:lpstr>Prof</vt:lpstr>
    </vt:vector>
  </TitlesOfParts>
  <Company/>
  <LinksUpToDate>false</LinksUpToDate>
  <CharactersWithSpaces>15195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dc:title>
  <dc:creator>KOS</dc:creator>
  <cp:lastModifiedBy>Bartłomiej</cp:lastModifiedBy>
  <cp:revision>2</cp:revision>
  <cp:lastPrinted>2014-10-22T11:28:00Z</cp:lastPrinted>
  <dcterms:created xsi:type="dcterms:W3CDTF">2015-01-27T17:30:00Z</dcterms:created>
  <dcterms:modified xsi:type="dcterms:W3CDTF">2015-01-27T17:30:00Z</dcterms:modified>
</cp:coreProperties>
</file>