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theme/themeOverride8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7B2" w:rsidRDefault="008007B2" w:rsidP="008007B2">
      <w:pPr>
        <w:pStyle w:val="Akapitzlist"/>
        <w:tabs>
          <w:tab w:val="left" w:pos="1860"/>
        </w:tabs>
        <w:ind w:left="0"/>
        <w:jc w:val="both"/>
        <w:rPr>
          <w:rFonts w:ascii="Sylfaen" w:hAnsi="Sylfaen"/>
        </w:rPr>
      </w:pPr>
    </w:p>
    <w:p w:rsidR="008007B2" w:rsidRDefault="008007B2" w:rsidP="008007B2">
      <w:pPr>
        <w:pStyle w:val="Akapitzlist"/>
        <w:tabs>
          <w:tab w:val="left" w:pos="1860"/>
        </w:tabs>
        <w:ind w:left="0"/>
        <w:jc w:val="both"/>
        <w:rPr>
          <w:rFonts w:ascii="Sylfaen" w:hAnsi="Sylfaen"/>
        </w:rPr>
      </w:pPr>
    </w:p>
    <w:tbl>
      <w:tblPr>
        <w:tblW w:w="9540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2586"/>
        <w:gridCol w:w="1427"/>
        <w:gridCol w:w="2313"/>
        <w:gridCol w:w="1939"/>
        <w:gridCol w:w="1275"/>
      </w:tblGrid>
      <w:tr w:rsidR="008007B2" w:rsidTr="00BB6E4B">
        <w:trPr>
          <w:trHeight w:val="1162"/>
        </w:trPr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8007B2" w:rsidRDefault="008007B2" w:rsidP="00BB6E4B">
            <w:pPr>
              <w:pStyle w:val="Akapitzlist"/>
              <w:tabs>
                <w:tab w:val="left" w:pos="1860"/>
              </w:tabs>
              <w:spacing w:after="120" w:line="480" w:lineRule="auto"/>
              <w:ind w:left="0"/>
              <w:jc w:val="both"/>
              <w:rPr>
                <w:rFonts w:ascii="Sylfaen" w:hAnsi="Sylfaen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76375" cy="638175"/>
                  <wp:effectExtent l="19050" t="0" r="9525" b="0"/>
                  <wp:docPr id="11" name="Obraz 2" descr="loga_UE_wiekszy_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loga_UE_wiekszy_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8007B2" w:rsidRDefault="008007B2" w:rsidP="00BB6E4B">
            <w:pPr>
              <w:pStyle w:val="Akapitzlist"/>
              <w:tabs>
                <w:tab w:val="left" w:pos="1860"/>
              </w:tabs>
              <w:spacing w:after="120" w:line="480" w:lineRule="auto"/>
              <w:ind w:left="0"/>
              <w:jc w:val="both"/>
              <w:rPr>
                <w:rFonts w:ascii="Sylfaen" w:hAnsi="Sylfaen"/>
              </w:rPr>
            </w:pPr>
            <w:r>
              <w:rPr>
                <w:b/>
                <w:bCs/>
                <w:noProof/>
                <w:lang w:eastAsia="pl-PL"/>
              </w:rPr>
              <w:drawing>
                <wp:inline distT="0" distB="0" distL="0" distR="0">
                  <wp:extent cx="533400" cy="533400"/>
                  <wp:effectExtent l="19050" t="0" r="0" b="0"/>
                  <wp:docPr id="12" name="Obraz 12" descr="logo_M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ogo_M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8007B2" w:rsidRDefault="008007B2" w:rsidP="00BB6E4B">
            <w:pPr>
              <w:pStyle w:val="Akapitzlist"/>
              <w:tabs>
                <w:tab w:val="left" w:pos="1860"/>
              </w:tabs>
              <w:spacing w:after="120" w:line="480" w:lineRule="auto"/>
              <w:ind w:left="0"/>
              <w:jc w:val="both"/>
              <w:rPr>
                <w:rFonts w:ascii="Sylfaen" w:hAnsi="Sylfaen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47775" cy="552450"/>
                  <wp:effectExtent l="19050" t="0" r="9525" b="0"/>
                  <wp:docPr id="13" name="Obraz 2" descr="KSOW_tekst_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KSOW_tekst_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8007B2" w:rsidRDefault="008007B2" w:rsidP="00BB6E4B">
            <w:pPr>
              <w:pStyle w:val="Akapitzlist"/>
              <w:tabs>
                <w:tab w:val="left" w:pos="1860"/>
              </w:tabs>
              <w:spacing w:after="120" w:line="480" w:lineRule="auto"/>
              <w:ind w:left="0"/>
              <w:jc w:val="both"/>
              <w:rPr>
                <w:rFonts w:ascii="Sylfaen" w:hAnsi="Sylfaen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3450" cy="447675"/>
                  <wp:effectExtent l="19050" t="0" r="0" b="0"/>
                  <wp:docPr id="1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8007B2" w:rsidRDefault="008007B2" w:rsidP="00BB6E4B">
            <w:pPr>
              <w:pStyle w:val="Akapitzlist"/>
              <w:tabs>
                <w:tab w:val="left" w:pos="1860"/>
              </w:tabs>
              <w:spacing w:after="120" w:line="480" w:lineRule="auto"/>
              <w:ind w:left="0"/>
              <w:jc w:val="both"/>
              <w:rPr>
                <w:rFonts w:ascii="Sylfaen" w:hAnsi="Sylfaen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118745</wp:posOffset>
                  </wp:positionV>
                  <wp:extent cx="883285" cy="490855"/>
                  <wp:effectExtent l="19050" t="0" r="0" b="0"/>
                  <wp:wrapNone/>
                  <wp:docPr id="15" name="Obraz 5" descr="logo PROW 2007-2013 z tłem mniejs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logo PROW 2007-2013 z tłem mniejs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49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007B2" w:rsidRPr="00D76918" w:rsidRDefault="008007B2" w:rsidP="008007B2">
      <w:pPr>
        <w:pStyle w:val="Akapitzlist"/>
        <w:tabs>
          <w:tab w:val="left" w:pos="1860"/>
        </w:tabs>
        <w:ind w:left="0"/>
        <w:jc w:val="center"/>
        <w:rPr>
          <w:rFonts w:ascii="Cambria" w:hAnsi="Cambria"/>
        </w:rPr>
      </w:pPr>
      <w:r w:rsidRPr="00D76918">
        <w:rPr>
          <w:rFonts w:ascii="Cambria" w:hAnsi="Cambria"/>
        </w:rPr>
        <w:t>„Europejski Fundusz Rolny na rzecz Rozwoju Obszarów Wiejskich: Europa inwestująca w obszary wiejskie.”</w:t>
      </w:r>
    </w:p>
    <w:p w:rsidR="008007B2" w:rsidRPr="00D76918" w:rsidRDefault="008007B2" w:rsidP="008007B2">
      <w:pPr>
        <w:pStyle w:val="Akapitzlist"/>
        <w:tabs>
          <w:tab w:val="left" w:pos="1860"/>
        </w:tabs>
        <w:ind w:left="0"/>
        <w:jc w:val="center"/>
        <w:rPr>
          <w:rFonts w:ascii="Cambria" w:hAnsi="Cambria"/>
        </w:rPr>
      </w:pPr>
      <w:r w:rsidRPr="00D76918">
        <w:rPr>
          <w:rFonts w:ascii="Cambria" w:hAnsi="Cambria"/>
        </w:rPr>
        <w:t>Projekt opracowany przez Szkołę Główną Gospodarstwa Wiejskiego w Warszawie</w:t>
      </w:r>
    </w:p>
    <w:p w:rsidR="008007B2" w:rsidRPr="00D76918" w:rsidRDefault="008007B2" w:rsidP="008007B2">
      <w:pPr>
        <w:pStyle w:val="Akapitzlist"/>
        <w:tabs>
          <w:tab w:val="left" w:pos="1860"/>
        </w:tabs>
        <w:ind w:left="0"/>
        <w:jc w:val="center"/>
        <w:rPr>
          <w:rFonts w:ascii="Cambria" w:hAnsi="Cambria"/>
        </w:rPr>
      </w:pPr>
      <w:r w:rsidRPr="00D76918">
        <w:rPr>
          <w:rFonts w:ascii="Cambria" w:hAnsi="Cambria"/>
        </w:rPr>
        <w:t>Projekt współfinansowany ze środków Unii Europejskiej w ramach Pomocy Technicznej Programu Rozwoju Obszarów Wiejskich na lata 2007-2013</w:t>
      </w:r>
    </w:p>
    <w:p w:rsidR="008007B2" w:rsidRPr="00D76918" w:rsidRDefault="008007B2" w:rsidP="008007B2">
      <w:pPr>
        <w:jc w:val="center"/>
        <w:rPr>
          <w:rFonts w:ascii="Cambria" w:hAnsi="Cambria"/>
        </w:rPr>
      </w:pPr>
      <w:r w:rsidRPr="00D76918">
        <w:rPr>
          <w:rFonts w:ascii="Cambria" w:hAnsi="Cambria"/>
        </w:rPr>
        <w:t>Instytucja Zarządzająca Programem Rozwoju Obszarów Wiejskich na lata 2007-2013 -</w:t>
      </w:r>
      <w:r w:rsidRPr="00D76918">
        <w:rPr>
          <w:rFonts w:ascii="Cambria" w:hAnsi="Cambria"/>
        </w:rPr>
        <w:br/>
        <w:t>Minister Rolnictwa i Rozwoju Wsi</w:t>
      </w:r>
    </w:p>
    <w:p w:rsidR="008007B2" w:rsidRDefault="008007B2" w:rsidP="008007B2">
      <w:pPr>
        <w:rPr>
          <w:b/>
          <w:bCs/>
          <w:sz w:val="26"/>
          <w:szCs w:val="26"/>
        </w:rPr>
      </w:pPr>
    </w:p>
    <w:p w:rsidR="00786673" w:rsidRPr="00E714BF" w:rsidRDefault="00786673" w:rsidP="00E714BF">
      <w:pPr>
        <w:jc w:val="center"/>
        <w:rPr>
          <w:b/>
          <w:bCs/>
          <w:sz w:val="28"/>
          <w:szCs w:val="28"/>
        </w:rPr>
      </w:pPr>
      <w:r w:rsidRPr="00E714BF">
        <w:rPr>
          <w:b/>
          <w:bCs/>
          <w:sz w:val="26"/>
          <w:szCs w:val="26"/>
        </w:rPr>
        <w:t>WYNIKI EKONOMICZNE GOSPODARSTW RODZINNYCH W POLSCE PO 2004</w:t>
      </w:r>
      <w:r w:rsidRPr="00E714BF">
        <w:rPr>
          <w:b/>
          <w:bCs/>
          <w:sz w:val="28"/>
          <w:szCs w:val="28"/>
        </w:rPr>
        <w:t xml:space="preserve"> ROKU</w:t>
      </w:r>
    </w:p>
    <w:p w:rsidR="008007B2" w:rsidRDefault="008007B2" w:rsidP="00E714BF">
      <w:pPr>
        <w:spacing w:after="0" w:line="240" w:lineRule="auto"/>
        <w:rPr>
          <w:b/>
          <w:bCs/>
        </w:rPr>
      </w:pPr>
    </w:p>
    <w:p w:rsidR="00786673" w:rsidRPr="00836AA6" w:rsidRDefault="00786673" w:rsidP="00E714BF">
      <w:pPr>
        <w:spacing w:after="0" w:line="240" w:lineRule="auto"/>
      </w:pPr>
      <w:r w:rsidRPr="00836AA6">
        <w:rPr>
          <w:b/>
          <w:bCs/>
        </w:rPr>
        <w:t>Prof. dr hab. Edward Majewski</w:t>
      </w:r>
    </w:p>
    <w:p w:rsidR="00786673" w:rsidRDefault="00786673" w:rsidP="00E714BF">
      <w:pPr>
        <w:spacing w:after="0" w:line="240" w:lineRule="auto"/>
        <w:rPr>
          <w:b/>
          <w:bCs/>
        </w:rPr>
      </w:pPr>
      <w:r w:rsidRPr="00836AA6">
        <w:rPr>
          <w:b/>
          <w:bCs/>
        </w:rPr>
        <w:t>Dr inż. Adam Wąs</w:t>
      </w:r>
    </w:p>
    <w:p w:rsidR="00786673" w:rsidRPr="00836AA6" w:rsidRDefault="00786673" w:rsidP="00E714BF">
      <w:pPr>
        <w:spacing w:after="0" w:line="240" w:lineRule="auto"/>
      </w:pPr>
    </w:p>
    <w:p w:rsidR="008007B2" w:rsidRDefault="008007B2" w:rsidP="00836AA6">
      <w:pPr>
        <w:rPr>
          <w:i/>
        </w:rPr>
      </w:pPr>
    </w:p>
    <w:p w:rsidR="00786673" w:rsidRPr="00E714BF" w:rsidRDefault="00786673" w:rsidP="00836AA6">
      <w:pPr>
        <w:rPr>
          <w:i/>
        </w:rPr>
      </w:pPr>
      <w:r w:rsidRPr="00E714BF">
        <w:rPr>
          <w:i/>
        </w:rPr>
        <w:t>„Każde pokolenie uważa, że żyje w dobie rewolucyjnych zmian. I…każde niewątpliwie ma rację”</w:t>
      </w:r>
    </w:p>
    <w:p w:rsidR="00786673" w:rsidRPr="00E714BF" w:rsidRDefault="00786673" w:rsidP="00E714BF">
      <w:pPr>
        <w:pStyle w:val="Nagwek1"/>
        <w:spacing w:before="120" w:after="120"/>
        <w:rPr>
          <w:sz w:val="24"/>
          <w:szCs w:val="24"/>
        </w:rPr>
      </w:pPr>
      <w:r w:rsidRPr="00E714BF">
        <w:rPr>
          <w:sz w:val="24"/>
          <w:szCs w:val="24"/>
        </w:rPr>
        <w:t>WPROWADZENIE</w:t>
      </w:r>
    </w:p>
    <w:p w:rsidR="00786673" w:rsidRPr="00670DEA" w:rsidRDefault="00786673" w:rsidP="00670DEA">
      <w:pPr>
        <w:spacing w:after="0"/>
        <w:jc w:val="both"/>
      </w:pPr>
      <w:r w:rsidRPr="00670DEA">
        <w:t xml:space="preserve">Sytuacja dochodowa w rolnictwie kształtowana jest pod wpływem wielu, egzogennych i endogennych czynników. Można przykładowo wymienić takie, jak uzależnienie produkcji rolniczej od zmiennych warunków pogodowych, podaż i ceny artykułów rolnych na rynku światowym i na rynkach krajowych, postęp technologiczny, czy zmieniające się wzorce konsumpcji, które wpływają na popyt na określone kategorie produktów żywnościowych. Na poziom dochodów wpływają także ceny surowców i środków do produkcji, jak również dostępność i koszty siły roboczej. Równie istotne znaczenie dla kształtowania się dochodów w rolnictwie mają przekształcenia zachodzące w sektorze, dostosowania podejmowane przez rolników do zmieniających się warunków gospodarowania w rolnictwie i wreszcie produktywność czynników produkcji.  </w:t>
      </w:r>
    </w:p>
    <w:p w:rsidR="00786673" w:rsidRPr="003549F4" w:rsidRDefault="00786673" w:rsidP="00670DEA">
      <w:pPr>
        <w:spacing w:after="0"/>
        <w:jc w:val="both"/>
      </w:pPr>
      <w:r w:rsidRPr="00670DEA">
        <w:t xml:space="preserve">W Polsce, podobnie jak w wielu innych krajach centralnej i wschodniej Europy, w których dokonała się transformacja ustrojowa, znaczący wpływ na obecną sytuację ekonomiczną w rolnictwie miały przekształcenia gospodarcze, w tym zmiany strukturalne zachodzące w przyspieszonym tempie w sektorze rolnictwa, jakie zainicjowane zostały po 1989 roku. Kolejnym kamieniem milowym wyznaczającym </w:t>
      </w:r>
      <w:r w:rsidRPr="00670DEA">
        <w:lastRenderedPageBreak/>
        <w:t xml:space="preserve">trendy w sektorze rolnictwa stała się akcesja do Unii Europejskiej i podporządkowanie sektora rolniczego zasadom Wspólnej Polityki Rolnej Unii Europejskiej (WPR). WPR poprzez system wsparcia finansowego, a jednocześnie rozliczne ograniczenia nakładane na sektor rolnictwa (np. kwotowanie produkcji, świadczenia na rzecz ochrony środowiska przyrodniczego) stała się istotnym czynnikiem regulującym poziom dochodów rolniczych, a jednocześnie ważnym stabilizatorem mitygującym zmienność dochodów w </w:t>
      </w:r>
      <w:r w:rsidRPr="00E51ECB">
        <w:t>rolnictwie [</w:t>
      </w:r>
      <w:r w:rsidRPr="00E51ECB">
        <w:rPr>
          <w:szCs w:val="24"/>
        </w:rPr>
        <w:t>Van</w:t>
      </w:r>
      <w:r w:rsidRPr="003549F4">
        <w:rPr>
          <w:szCs w:val="24"/>
        </w:rPr>
        <w:t xml:space="preserve"> Asseldonk </w:t>
      </w:r>
      <w:r>
        <w:rPr>
          <w:szCs w:val="24"/>
        </w:rPr>
        <w:t>et. al. 2008]</w:t>
      </w:r>
    </w:p>
    <w:p w:rsidR="00786673" w:rsidRPr="00670DEA" w:rsidRDefault="00786673" w:rsidP="00670DEA">
      <w:pPr>
        <w:spacing w:after="0"/>
        <w:jc w:val="both"/>
      </w:pPr>
      <w:r w:rsidRPr="00670DEA">
        <w:t>Znaczący już czas jaki upłynął od tych dwóch epokowych wydarzeń skłania do przeglądu różnorakich skutków zmian, jakie w wyniku przemian społeczno-gospodarczych dokonały się w sektorze rolnictwa. Zasadniczym celem analiz, których wyniki przedstawiono w niniejszym opracowaniu jest określenie dynamiki zmian dochodu rolniczego w różnych grupach gospodarstw rolniczych w Polsce na tle rolnictwa pozostałych krajów Unii Europejskiej. Dane na potrzeby tych analiz pochodziły z dwóch podstawowy</w:t>
      </w:r>
      <w:r>
        <w:t>ch źródeł – statystyki masowej (GUS, Eurostat)</w:t>
      </w:r>
      <w:r w:rsidRPr="00670DEA">
        <w:t xml:space="preserve"> oraz Systemu </w:t>
      </w:r>
      <w:r w:rsidRPr="0064546E">
        <w:t>Zbierania i Wykorzystywania Danych Rachunkowych z Gospodarstw Rolnych</w:t>
      </w:r>
      <w:r>
        <w:t xml:space="preserve"> (FADN)</w:t>
      </w:r>
      <w:r w:rsidRPr="00670DEA">
        <w:t xml:space="preserve">.  </w:t>
      </w:r>
    </w:p>
    <w:p w:rsidR="00786673" w:rsidRPr="00670DEA" w:rsidRDefault="00786673" w:rsidP="00670DEA">
      <w:pPr>
        <w:spacing w:after="0"/>
        <w:jc w:val="both"/>
      </w:pPr>
      <w:r w:rsidRPr="00670DEA">
        <w:t xml:space="preserve">Dochody rolnicze są przedmiotem analiz w wielu opracowaniach, szczególnie ze względu na oddziaływanie instrumentów sukcesywnie reformowanej w czasie WPR. Dla przykładu, w obszernej analizie Komisji Europejskiej w kontekście planowanej reformy na lata 2013-2020 </w:t>
      </w:r>
      <w:r>
        <w:t>[EC, DG AGRI 2010]</w:t>
      </w:r>
      <w:r w:rsidRPr="00670DEA">
        <w:t xml:space="preserve"> wskazuje się na to, że w latach 2000-2009 wystąpił słaby trend wzrostu dochodów w rolnictwie (0,6% rocznie w skali UE). Ujawniły się jednocześnie różnice w poziomie dochodów w „starych” i „nowych” krajach członkowskich,  charakteryzujące się przy tym znaczącą zmiennością w kolejnych latach. Autorzy tej analizy </w:t>
      </w:r>
      <w:r w:rsidRPr="00670DEA">
        <w:lastRenderedPageBreak/>
        <w:t xml:space="preserve">podkreślają, że zmienność dochodów jest szczególnie istotna w skali pojedynczych gospodarstw – w 54% gospodarstw odnotowano zmienność dochodów o więcej niż 30% w przekroju trzech lat. </w:t>
      </w:r>
    </w:p>
    <w:p w:rsidR="00786673" w:rsidRPr="00670DEA" w:rsidRDefault="00786673" w:rsidP="00670DEA">
      <w:pPr>
        <w:spacing w:after="0"/>
        <w:jc w:val="both"/>
      </w:pPr>
      <w:r w:rsidRPr="00670DEA">
        <w:t>Ważnym zjawiskiem, szczególnie istotnym między innymi w Polsce ze względu na istniejącą strukturę  obszarową gospodarstw jest relatywnie niska opłacalność w produkcji rolniczej. Skutkiem tego “w okresie 2004-2006 tylko 35% gospodarstw w EU-25 było zdolnych do osiągnięcia nadwyżki przychodów nad koszta</w:t>
      </w:r>
      <w:r>
        <w:t>mi”. Problem ten co dotyczył</w:t>
      </w:r>
      <w:r w:rsidRPr="00670DEA">
        <w:t xml:space="preserve"> przede wszystkim gospodarstw małych (62% w grupie gospodarstw </w:t>
      </w:r>
      <w:r w:rsidRPr="00EF6A95">
        <w:t>dużych</w:t>
      </w:r>
      <w:r>
        <w:t xml:space="preserve"> osiągnęło nadwyżkę przychodów nad kosztami</w:t>
      </w:r>
      <w:r w:rsidRPr="00EF6A95">
        <w:t>) [ibidem].</w:t>
      </w:r>
      <w:r w:rsidRPr="00670DEA">
        <w:t xml:space="preserve"> </w:t>
      </w:r>
    </w:p>
    <w:p w:rsidR="00786673" w:rsidRPr="00670DEA" w:rsidRDefault="00786673" w:rsidP="00670DEA">
      <w:pPr>
        <w:spacing w:after="0"/>
        <w:jc w:val="both"/>
      </w:pPr>
      <w:r w:rsidRPr="00670DEA">
        <w:t xml:space="preserve">Wskazuje to na znaczenie płatności bezpośrednich w kształtowaniu dochodów rolniczych, a także na konieczność poszukiwania dodatkowych źródeł dochodu poza rolnictwem. </w:t>
      </w:r>
    </w:p>
    <w:p w:rsidR="00786673" w:rsidRPr="00670DEA" w:rsidRDefault="00786673" w:rsidP="00670DEA">
      <w:pPr>
        <w:spacing w:after="0"/>
        <w:jc w:val="both"/>
      </w:pPr>
      <w:r w:rsidRPr="00670DEA">
        <w:t>Podobne rozważania w odniesieniu do rolnictwa Włoch były przedmiotem publikacji Coppola i in. [2013], w której podkreślono zróżnicowanie poziomu dochodowości, a także zmniejszenie wsparcia finansowego w wyniku reformy WPR na lata 2014-2020, co jest skutkiem konwergencji płatności bezpośrednich w rolnictwie Unii Europejskiej.</w:t>
      </w:r>
    </w:p>
    <w:p w:rsidR="00786673" w:rsidRDefault="00786673" w:rsidP="00670DEA">
      <w:pPr>
        <w:spacing w:after="0"/>
        <w:jc w:val="both"/>
      </w:pPr>
      <w:r w:rsidRPr="00670DEA">
        <w:t xml:space="preserve">W opracowaniu Komisji Europejskiej, które dotyczyło wyników z 2007 roku podkreśla się znaczące zróżnicowanie dochodów w przeliczeniu na zatrudnionego - z najwyższymi wartościami w takich krajach jak Dania, Holandia Belgia i najniższymi w krajach z rozdrobnioną strukturą gospodarstw (Portugalia i  Grecja wśród krajów UE 15 oraz Rumunia, Bułgaria, Słowenia w grupie krajów UE 12). Wskazuje się też na znaczące różnice w wielkości dochodów pomiędzy regionami </w:t>
      </w:r>
      <w:r w:rsidRPr="007874A9">
        <w:t xml:space="preserve"> </w:t>
      </w:r>
      <w:r>
        <w:t>[EC -FADN 2011</w:t>
      </w:r>
      <w:r w:rsidRPr="007874A9">
        <w:t xml:space="preserve">]. </w:t>
      </w:r>
      <w:r>
        <w:t xml:space="preserve">Na zróżnicowanie wydajności pracy i dochodów w przeliczeniu </w:t>
      </w:r>
      <w:r w:rsidRPr="00EF6A95">
        <w:t xml:space="preserve">na zatrudnionego w poszczególnych krajach UE i w różnych typach gospodarstw wskazują też Zawadzka i Strzelecka [2012]  </w:t>
      </w:r>
    </w:p>
    <w:p w:rsidR="00786673" w:rsidRDefault="00786673" w:rsidP="00670DEA">
      <w:pPr>
        <w:spacing w:after="0"/>
        <w:jc w:val="both"/>
      </w:pPr>
      <w:r>
        <w:t>Nierówności w dystrybucji dochodów, mierzone z zastosowaniem różnych podejść metodycznych były przedmiotem analiz, które wskazywały na występujące zróżnicowanie i znaczenie różnych czynników, takich jak reformy polityki rolnej i związane z nimi zmiany systemu wsparcia finansowego, dochody spoza rolnictwa czy skala produkcji rolniczej [m.in. Sahrbacher 2012, Kaditi, Nitsi 2011, Mishra i in. 2009, Severini, Tantari 2013]. W odniesieniu do warunków polskich dochodowość w rolnictwie, z uwzględnieniem różnych determinant (m. in. kryzysu finansowego) badali miedzy innymi Grontkowska [2009], Grzelak [2013] i Sass [2007].</w:t>
      </w:r>
    </w:p>
    <w:p w:rsidR="00786673" w:rsidRPr="00E714BF" w:rsidRDefault="00786673" w:rsidP="00E714BF">
      <w:pPr>
        <w:pStyle w:val="Nagwek1"/>
        <w:numPr>
          <w:ilvl w:val="0"/>
          <w:numId w:val="8"/>
        </w:numPr>
        <w:spacing w:before="120" w:after="120"/>
        <w:ind w:left="357" w:hanging="357"/>
        <w:rPr>
          <w:sz w:val="24"/>
          <w:szCs w:val="24"/>
        </w:rPr>
      </w:pPr>
      <w:r w:rsidRPr="00E714BF">
        <w:rPr>
          <w:sz w:val="24"/>
          <w:szCs w:val="24"/>
        </w:rPr>
        <w:t>TRANSFORMACJA I AKCESJA  - „REWOLUCJE” W POLSKIM ROLNICTWIE</w:t>
      </w:r>
    </w:p>
    <w:p w:rsidR="00786673" w:rsidRPr="00941901" w:rsidRDefault="00786673" w:rsidP="00670DEA">
      <w:pPr>
        <w:spacing w:after="0"/>
        <w:jc w:val="both"/>
      </w:pPr>
      <w:r w:rsidRPr="00941901">
        <w:t xml:space="preserve">Zarówno obecna sytuacja finansowa rolnictwa w Polsce, jak i dynamika zmian dochodów i innych wskaźników ekonomicznych jest pochodną dwóch epokowych wydarzeń, jakie nastąpiły w ostatnim 25-leciu: transformacji ustrojowej rozpoczętej w 1989 roku oraz przystąpienia Polski do Unii Europejskiej i wdrożenia Wspólnej Polityki Rolnej UE. </w:t>
      </w:r>
    </w:p>
    <w:p w:rsidR="00786673" w:rsidRPr="00941901" w:rsidRDefault="00786673" w:rsidP="00670DEA">
      <w:pPr>
        <w:jc w:val="both"/>
      </w:pPr>
      <w:r w:rsidRPr="00941901">
        <w:t>Bezpośrednim skutkiem transformacji były zmiany struktury własnościowej ziemi w rolnictwie Polski (tab. 1).</w:t>
      </w:r>
    </w:p>
    <w:p w:rsidR="00786673" w:rsidRPr="00670DEA" w:rsidRDefault="00786673" w:rsidP="00670DEA">
      <w:pPr>
        <w:jc w:val="both"/>
        <w:rPr>
          <w:rStyle w:val="Pogrubienie"/>
          <w:bCs/>
        </w:rPr>
      </w:pPr>
      <w:r w:rsidRPr="00670DEA">
        <w:rPr>
          <w:rStyle w:val="Pogrubienie"/>
          <w:bCs/>
        </w:rPr>
        <w:t xml:space="preserve">Tabela </w:t>
      </w:r>
      <w:r w:rsidR="00290E27" w:rsidRPr="00670DEA">
        <w:rPr>
          <w:rStyle w:val="Pogrubienie"/>
          <w:bCs/>
        </w:rPr>
        <w:fldChar w:fldCharType="begin"/>
      </w:r>
      <w:r w:rsidRPr="00670DEA">
        <w:rPr>
          <w:rStyle w:val="Pogrubienie"/>
          <w:bCs/>
        </w:rPr>
        <w:instrText xml:space="preserve"> SEQ Tabela \* ARABIC </w:instrText>
      </w:r>
      <w:r w:rsidR="00290E27" w:rsidRPr="00670DEA">
        <w:rPr>
          <w:rStyle w:val="Pogrubienie"/>
          <w:bCs/>
        </w:rPr>
        <w:fldChar w:fldCharType="separate"/>
      </w:r>
      <w:r>
        <w:rPr>
          <w:rStyle w:val="Pogrubienie"/>
          <w:bCs/>
          <w:noProof/>
        </w:rPr>
        <w:t>1</w:t>
      </w:r>
      <w:r w:rsidR="00290E27" w:rsidRPr="00670DEA">
        <w:rPr>
          <w:rStyle w:val="Pogrubienie"/>
          <w:bCs/>
        </w:rPr>
        <w:fldChar w:fldCharType="end"/>
      </w:r>
      <w:r w:rsidRPr="00670DEA">
        <w:rPr>
          <w:rStyle w:val="Pogrubienie"/>
          <w:bCs/>
        </w:rPr>
        <w:t xml:space="preserve"> Zmiany struktury własnościowej ziemi w Polsce w latach 1991-2013</w:t>
      </w:r>
    </w:p>
    <w:tbl>
      <w:tblPr>
        <w:tblW w:w="9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42"/>
        <w:gridCol w:w="1383"/>
        <w:gridCol w:w="1383"/>
        <w:gridCol w:w="1383"/>
        <w:gridCol w:w="1383"/>
        <w:gridCol w:w="1383"/>
      </w:tblGrid>
      <w:tr w:rsidR="00786673" w:rsidRPr="00941901" w:rsidTr="002125E5">
        <w:trPr>
          <w:trHeight w:hRule="exact" w:val="340"/>
        </w:trPr>
        <w:tc>
          <w:tcPr>
            <w:tcW w:w="2142" w:type="dxa"/>
            <w:vAlign w:val="center"/>
          </w:tcPr>
          <w:p w:rsidR="00786673" w:rsidRPr="00941901" w:rsidRDefault="00786673" w:rsidP="00670DEA">
            <w:pPr>
              <w:spacing w:line="240" w:lineRule="auto"/>
            </w:pPr>
            <w:r w:rsidRPr="00941901">
              <w:t>Rok</w:t>
            </w:r>
          </w:p>
        </w:tc>
        <w:tc>
          <w:tcPr>
            <w:tcW w:w="1383" w:type="dxa"/>
            <w:vAlign w:val="center"/>
          </w:tcPr>
          <w:p w:rsidR="00786673" w:rsidRPr="00941901" w:rsidRDefault="00786673" w:rsidP="00670DEA">
            <w:pPr>
              <w:spacing w:line="240" w:lineRule="auto"/>
              <w:jc w:val="center"/>
            </w:pPr>
            <w:r w:rsidRPr="00941901">
              <w:rPr>
                <w:bCs/>
              </w:rPr>
              <w:t>1990</w:t>
            </w:r>
          </w:p>
        </w:tc>
        <w:tc>
          <w:tcPr>
            <w:tcW w:w="1383" w:type="dxa"/>
            <w:vAlign w:val="center"/>
          </w:tcPr>
          <w:p w:rsidR="00786673" w:rsidRPr="00941901" w:rsidRDefault="00786673" w:rsidP="00670DEA">
            <w:pPr>
              <w:spacing w:line="240" w:lineRule="auto"/>
              <w:jc w:val="center"/>
            </w:pPr>
            <w:r w:rsidRPr="00941901">
              <w:rPr>
                <w:bCs/>
              </w:rPr>
              <w:t>2000</w:t>
            </w:r>
          </w:p>
        </w:tc>
        <w:tc>
          <w:tcPr>
            <w:tcW w:w="1383" w:type="dxa"/>
            <w:vAlign w:val="center"/>
          </w:tcPr>
          <w:p w:rsidR="00786673" w:rsidRPr="00941901" w:rsidRDefault="00786673" w:rsidP="00670DEA">
            <w:pPr>
              <w:spacing w:line="240" w:lineRule="auto"/>
              <w:jc w:val="center"/>
            </w:pPr>
            <w:r w:rsidRPr="00941901">
              <w:rPr>
                <w:bCs/>
              </w:rPr>
              <w:t>2004</w:t>
            </w:r>
          </w:p>
        </w:tc>
        <w:tc>
          <w:tcPr>
            <w:tcW w:w="1383" w:type="dxa"/>
            <w:vAlign w:val="center"/>
          </w:tcPr>
          <w:p w:rsidR="00786673" w:rsidRPr="00941901" w:rsidRDefault="00786673" w:rsidP="00670DEA">
            <w:pPr>
              <w:spacing w:line="240" w:lineRule="auto"/>
              <w:jc w:val="center"/>
            </w:pPr>
            <w:r w:rsidRPr="00941901">
              <w:rPr>
                <w:bCs/>
              </w:rPr>
              <w:t>2010</w:t>
            </w:r>
          </w:p>
        </w:tc>
        <w:tc>
          <w:tcPr>
            <w:tcW w:w="1383" w:type="dxa"/>
            <w:vAlign w:val="center"/>
          </w:tcPr>
          <w:p w:rsidR="00786673" w:rsidRPr="00941901" w:rsidRDefault="00786673" w:rsidP="00670DEA">
            <w:pPr>
              <w:spacing w:line="240" w:lineRule="auto"/>
              <w:jc w:val="center"/>
            </w:pPr>
            <w:r w:rsidRPr="00941901">
              <w:rPr>
                <w:bCs/>
              </w:rPr>
              <w:t>2013</w:t>
            </w:r>
          </w:p>
        </w:tc>
      </w:tr>
      <w:tr w:rsidR="00786673" w:rsidRPr="00941901" w:rsidTr="002125E5">
        <w:trPr>
          <w:trHeight w:hRule="exact" w:val="340"/>
        </w:trPr>
        <w:tc>
          <w:tcPr>
            <w:tcW w:w="2142" w:type="dxa"/>
            <w:vAlign w:val="center"/>
          </w:tcPr>
          <w:p w:rsidR="00786673" w:rsidRPr="00941901" w:rsidRDefault="00786673" w:rsidP="00670DEA">
            <w:pPr>
              <w:spacing w:line="240" w:lineRule="auto"/>
            </w:pPr>
            <w:r w:rsidRPr="00941901">
              <w:rPr>
                <w:bCs/>
              </w:rPr>
              <w:t>własność prywatna</w:t>
            </w:r>
          </w:p>
        </w:tc>
        <w:tc>
          <w:tcPr>
            <w:tcW w:w="1383" w:type="dxa"/>
            <w:vAlign w:val="center"/>
          </w:tcPr>
          <w:p w:rsidR="00786673" w:rsidRPr="00941901" w:rsidRDefault="00786673" w:rsidP="00670DEA">
            <w:pPr>
              <w:spacing w:line="240" w:lineRule="auto"/>
              <w:jc w:val="center"/>
            </w:pPr>
            <w:r w:rsidRPr="00941901">
              <w:rPr>
                <w:bCs/>
              </w:rPr>
              <w:t>75,8</w:t>
            </w:r>
          </w:p>
        </w:tc>
        <w:tc>
          <w:tcPr>
            <w:tcW w:w="1383" w:type="dxa"/>
            <w:vAlign w:val="center"/>
          </w:tcPr>
          <w:p w:rsidR="00786673" w:rsidRPr="00941901" w:rsidRDefault="00786673" w:rsidP="00670DEA">
            <w:pPr>
              <w:spacing w:line="240" w:lineRule="auto"/>
              <w:jc w:val="center"/>
            </w:pPr>
            <w:r w:rsidRPr="00941901">
              <w:rPr>
                <w:bCs/>
              </w:rPr>
              <w:t>94</w:t>
            </w:r>
          </w:p>
        </w:tc>
        <w:tc>
          <w:tcPr>
            <w:tcW w:w="1383" w:type="dxa"/>
            <w:vAlign w:val="center"/>
          </w:tcPr>
          <w:p w:rsidR="00786673" w:rsidRPr="00941901" w:rsidRDefault="00786673" w:rsidP="00670DEA">
            <w:pPr>
              <w:spacing w:line="240" w:lineRule="auto"/>
              <w:jc w:val="center"/>
            </w:pPr>
            <w:r w:rsidRPr="00941901">
              <w:rPr>
                <w:bCs/>
              </w:rPr>
              <w:t>95,5</w:t>
            </w:r>
          </w:p>
        </w:tc>
        <w:tc>
          <w:tcPr>
            <w:tcW w:w="1383" w:type="dxa"/>
            <w:vAlign w:val="center"/>
          </w:tcPr>
          <w:p w:rsidR="00786673" w:rsidRPr="00941901" w:rsidRDefault="00786673" w:rsidP="00670DEA">
            <w:pPr>
              <w:spacing w:line="240" w:lineRule="auto"/>
              <w:jc w:val="center"/>
            </w:pPr>
            <w:r w:rsidRPr="00941901">
              <w:rPr>
                <w:bCs/>
              </w:rPr>
              <w:t>96,3</w:t>
            </w:r>
          </w:p>
        </w:tc>
        <w:tc>
          <w:tcPr>
            <w:tcW w:w="1383" w:type="dxa"/>
            <w:vAlign w:val="center"/>
          </w:tcPr>
          <w:p w:rsidR="00786673" w:rsidRPr="00941901" w:rsidRDefault="00786673" w:rsidP="00670DEA">
            <w:pPr>
              <w:spacing w:line="240" w:lineRule="auto"/>
              <w:jc w:val="center"/>
            </w:pPr>
            <w:r w:rsidRPr="00941901">
              <w:rPr>
                <w:bCs/>
              </w:rPr>
              <w:t>98,2</w:t>
            </w:r>
          </w:p>
        </w:tc>
      </w:tr>
      <w:tr w:rsidR="00786673" w:rsidRPr="00941901" w:rsidTr="002125E5">
        <w:trPr>
          <w:trHeight w:hRule="exact" w:val="340"/>
        </w:trPr>
        <w:tc>
          <w:tcPr>
            <w:tcW w:w="2142" w:type="dxa"/>
            <w:vAlign w:val="center"/>
          </w:tcPr>
          <w:p w:rsidR="00786673" w:rsidRPr="00941901" w:rsidRDefault="00786673" w:rsidP="00670DEA">
            <w:pPr>
              <w:spacing w:line="240" w:lineRule="auto"/>
            </w:pPr>
            <w:r w:rsidRPr="00941901">
              <w:rPr>
                <w:bCs/>
              </w:rPr>
              <w:t>własność państwowa</w:t>
            </w:r>
          </w:p>
        </w:tc>
        <w:tc>
          <w:tcPr>
            <w:tcW w:w="1383" w:type="dxa"/>
            <w:vAlign w:val="center"/>
          </w:tcPr>
          <w:p w:rsidR="00786673" w:rsidRPr="00941901" w:rsidRDefault="00786673" w:rsidP="00670DEA">
            <w:pPr>
              <w:spacing w:line="240" w:lineRule="auto"/>
              <w:jc w:val="center"/>
            </w:pPr>
            <w:r w:rsidRPr="00941901">
              <w:rPr>
                <w:bCs/>
              </w:rPr>
              <w:t>24,2</w:t>
            </w:r>
          </w:p>
        </w:tc>
        <w:tc>
          <w:tcPr>
            <w:tcW w:w="1383" w:type="dxa"/>
            <w:vAlign w:val="center"/>
          </w:tcPr>
          <w:p w:rsidR="00786673" w:rsidRPr="00941901" w:rsidRDefault="00786673" w:rsidP="00670DEA">
            <w:pPr>
              <w:spacing w:line="240" w:lineRule="auto"/>
              <w:jc w:val="center"/>
            </w:pPr>
            <w:r w:rsidRPr="00941901">
              <w:rPr>
                <w:bCs/>
              </w:rPr>
              <w:t>6</w:t>
            </w:r>
          </w:p>
        </w:tc>
        <w:tc>
          <w:tcPr>
            <w:tcW w:w="1383" w:type="dxa"/>
            <w:vAlign w:val="center"/>
          </w:tcPr>
          <w:p w:rsidR="00786673" w:rsidRPr="00941901" w:rsidRDefault="00786673" w:rsidP="00670DEA">
            <w:pPr>
              <w:spacing w:line="240" w:lineRule="auto"/>
              <w:jc w:val="center"/>
            </w:pPr>
            <w:r w:rsidRPr="00941901">
              <w:rPr>
                <w:bCs/>
              </w:rPr>
              <w:t>4,5</w:t>
            </w:r>
          </w:p>
        </w:tc>
        <w:tc>
          <w:tcPr>
            <w:tcW w:w="1383" w:type="dxa"/>
            <w:vAlign w:val="center"/>
          </w:tcPr>
          <w:p w:rsidR="00786673" w:rsidRPr="00941901" w:rsidRDefault="00786673" w:rsidP="00670DEA">
            <w:pPr>
              <w:spacing w:line="240" w:lineRule="auto"/>
              <w:jc w:val="center"/>
            </w:pPr>
            <w:r w:rsidRPr="00941901">
              <w:rPr>
                <w:bCs/>
              </w:rPr>
              <w:t>3,7</w:t>
            </w:r>
          </w:p>
        </w:tc>
        <w:tc>
          <w:tcPr>
            <w:tcW w:w="1383" w:type="dxa"/>
            <w:vAlign w:val="center"/>
          </w:tcPr>
          <w:p w:rsidR="00786673" w:rsidRPr="00941901" w:rsidRDefault="00786673" w:rsidP="00670DEA">
            <w:pPr>
              <w:spacing w:line="240" w:lineRule="auto"/>
              <w:jc w:val="center"/>
            </w:pPr>
            <w:r w:rsidRPr="00941901">
              <w:rPr>
                <w:bCs/>
              </w:rPr>
              <w:t>1,8</w:t>
            </w:r>
          </w:p>
        </w:tc>
      </w:tr>
    </w:tbl>
    <w:p w:rsidR="00786673" w:rsidRPr="00941901" w:rsidRDefault="00786673" w:rsidP="00670DEA">
      <w:pPr>
        <w:pStyle w:val="Cytat"/>
      </w:pPr>
      <w:r w:rsidRPr="00941901">
        <w:t>Źródło: Opracowanie własne</w:t>
      </w:r>
    </w:p>
    <w:p w:rsidR="00786673" w:rsidRPr="00670DEA" w:rsidRDefault="00786673" w:rsidP="00670DEA">
      <w:pPr>
        <w:jc w:val="both"/>
      </w:pPr>
      <w:r w:rsidRPr="00670DEA">
        <w:t>W wyniku tych zmian niemal w całości ziemia rolnicza w Polsce znalazła się we władaniu lub w użytkowaniu prywatn</w:t>
      </w:r>
      <w:r>
        <w:t>ym, z czego zdecydowanie większa</w:t>
      </w:r>
      <w:r w:rsidRPr="00670DEA">
        <w:t xml:space="preserve"> część w gospodarstwach rodzinnych. </w:t>
      </w:r>
    </w:p>
    <w:p w:rsidR="00786673" w:rsidRPr="00670DEA" w:rsidRDefault="00786673" w:rsidP="00670DEA">
      <w:pPr>
        <w:jc w:val="both"/>
      </w:pPr>
      <w:r w:rsidRPr="00670DEA">
        <w:t xml:space="preserve">Jednym z efektów procesów transformacji ustrojowej, a także zmian w strukturze własnościowej w </w:t>
      </w:r>
      <w:r w:rsidRPr="004D4992">
        <w:t>rolnictwie było powstanie (odrodzenie) rynku ziemi w Polsce [Majewski 2008]. Jakkolwiek w okresie</w:t>
      </w:r>
      <w:r w:rsidRPr="00670DEA">
        <w:t xml:space="preserve"> systemu gospodarki centralnie sterowanej w Polsce istniał w ograniczonej skali obrót ziemią rolniczą to miał on, z różnych powodów, ograniczoną skalę. Uruchomienie mechanizmów rynkowych, a także przekazanie na rynek ziemi własności państwowej można uznać za początkową fazę funkcjonowania tego rynku. W rezultacie nastąpił stopniowy wzrost cen ziemi rolniczej w Polsce, nasilony znacząco po akcesji Polski do Unii Europejskiej ze względu na wprowadzenie systemu wsparcia finansowego w rolnictwie po wdrożeniu </w:t>
      </w:r>
      <w:r>
        <w:t>W</w:t>
      </w:r>
      <w:r w:rsidRPr="00670DEA">
        <w:t xml:space="preserve">spólnej </w:t>
      </w:r>
      <w:r>
        <w:t>P</w:t>
      </w:r>
      <w:r w:rsidRPr="00670DEA">
        <w:t xml:space="preserve">olityki </w:t>
      </w:r>
      <w:r>
        <w:t>R</w:t>
      </w:r>
      <w:r w:rsidRPr="00670DEA">
        <w:t xml:space="preserve">olnej UE (rys. 1). </w:t>
      </w:r>
    </w:p>
    <w:p w:rsidR="00786673" w:rsidRDefault="008007B2" w:rsidP="00CA7C50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5847892" cy="2565663"/>
            <wp:effectExtent l="12192" t="6087" r="7316" b="0"/>
            <wp:docPr id="1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86673" w:rsidRPr="00670DEA" w:rsidRDefault="00786673" w:rsidP="0095512B">
      <w:pPr>
        <w:spacing w:after="0"/>
        <w:jc w:val="both"/>
        <w:rPr>
          <w:rStyle w:val="Pogrubienie"/>
          <w:b w:val="0"/>
          <w:bCs/>
        </w:rPr>
      </w:pPr>
      <w:r w:rsidRPr="00670DEA">
        <w:rPr>
          <w:rStyle w:val="Pogrubienie"/>
          <w:bCs/>
        </w:rPr>
        <w:t xml:space="preserve">Rysunek </w:t>
      </w:r>
      <w:r w:rsidR="00290E27" w:rsidRPr="00670DEA">
        <w:rPr>
          <w:rStyle w:val="Pogrubienie"/>
          <w:bCs/>
        </w:rPr>
        <w:fldChar w:fldCharType="begin"/>
      </w:r>
      <w:r w:rsidRPr="00670DEA">
        <w:rPr>
          <w:rStyle w:val="Pogrubienie"/>
          <w:bCs/>
        </w:rPr>
        <w:instrText xml:space="preserve"> SEQ Rysunek \* ARABIC </w:instrText>
      </w:r>
      <w:r w:rsidR="00290E27" w:rsidRPr="00670DEA">
        <w:rPr>
          <w:rStyle w:val="Pogrubienie"/>
          <w:bCs/>
        </w:rPr>
        <w:fldChar w:fldCharType="separate"/>
      </w:r>
      <w:r>
        <w:rPr>
          <w:rStyle w:val="Pogrubienie"/>
          <w:bCs/>
          <w:noProof/>
        </w:rPr>
        <w:t>1</w:t>
      </w:r>
      <w:r w:rsidR="00290E27" w:rsidRPr="00670DEA">
        <w:rPr>
          <w:rStyle w:val="Pogrubienie"/>
          <w:bCs/>
        </w:rPr>
        <w:fldChar w:fldCharType="end"/>
      </w:r>
      <w:r w:rsidRPr="00670DEA">
        <w:rPr>
          <w:rStyle w:val="Pogrubienie"/>
          <w:bCs/>
        </w:rPr>
        <w:t xml:space="preserve"> Średnie ceny ziemi rolnej w Polsce w latach 1992 - 2014</w:t>
      </w:r>
    </w:p>
    <w:p w:rsidR="00786673" w:rsidRPr="00670DEA" w:rsidRDefault="00786673" w:rsidP="00670DEA">
      <w:pPr>
        <w:pStyle w:val="Cytat"/>
      </w:pPr>
      <w:r w:rsidRPr="00670DEA">
        <w:t>Źródło: Dane ANR/ARiMR</w:t>
      </w:r>
    </w:p>
    <w:p w:rsidR="00786673" w:rsidRPr="002125E5" w:rsidRDefault="00786673" w:rsidP="002125E5">
      <w:pPr>
        <w:jc w:val="both"/>
      </w:pPr>
      <w:r w:rsidRPr="002125E5">
        <w:t>Jakkolwiek wzrost cen ziemi nie przekłada się bezpośrednio na koszty produkcji i dochody rolnicze, to jednak ze względu na jednoczesny wzrost kosztów dzierżawy ziemi uprawnej, czy też ograniczenie zasobów środków finansowych w gospodarstwach inwestujących w zakup ziemi miał pewien wpływ na sytuację ekonomiczną w części gospodarstw rolniczych.</w:t>
      </w:r>
    </w:p>
    <w:p w:rsidR="00786673" w:rsidRPr="002125E5" w:rsidRDefault="00786673" w:rsidP="002125E5">
      <w:pPr>
        <w:jc w:val="both"/>
      </w:pPr>
      <w:r w:rsidRPr="002125E5">
        <w:t xml:space="preserve">Przemiany w rolnictwie polskim zainicjowane wraz z początkiem transformacji ustrojowej w relatywnie krótkim czasie skutkowały zmianami w strukturze i wielkości czynników wytwórczych w rolnictwie (tabela 2) oraz szybko postępującymi procesami koncentracji i zwiększania skali produkcji w produkcji zwierzęcej (tabela 3). </w:t>
      </w:r>
    </w:p>
    <w:p w:rsidR="00786673" w:rsidRPr="00670DEA" w:rsidRDefault="00786673" w:rsidP="00670DEA">
      <w:pPr>
        <w:jc w:val="both"/>
        <w:rPr>
          <w:rStyle w:val="Pogrubienie"/>
          <w:bCs/>
        </w:rPr>
      </w:pPr>
      <w:r w:rsidRPr="00670DEA">
        <w:rPr>
          <w:rStyle w:val="Pogrubienie"/>
          <w:bCs/>
        </w:rPr>
        <w:t xml:space="preserve">Tabela </w:t>
      </w:r>
      <w:r w:rsidR="00290E27" w:rsidRPr="00670DEA">
        <w:rPr>
          <w:rStyle w:val="Pogrubienie"/>
          <w:bCs/>
        </w:rPr>
        <w:fldChar w:fldCharType="begin"/>
      </w:r>
      <w:r w:rsidRPr="00670DEA">
        <w:rPr>
          <w:rStyle w:val="Pogrubienie"/>
          <w:bCs/>
        </w:rPr>
        <w:instrText xml:space="preserve"> SEQ Tabela \* ARABIC </w:instrText>
      </w:r>
      <w:r w:rsidR="00290E27" w:rsidRPr="00670DEA">
        <w:rPr>
          <w:rStyle w:val="Pogrubienie"/>
          <w:bCs/>
        </w:rPr>
        <w:fldChar w:fldCharType="separate"/>
      </w:r>
      <w:r>
        <w:rPr>
          <w:rStyle w:val="Pogrubienie"/>
          <w:bCs/>
          <w:noProof/>
        </w:rPr>
        <w:t>2</w:t>
      </w:r>
      <w:r w:rsidR="00290E27" w:rsidRPr="00670DEA">
        <w:rPr>
          <w:rStyle w:val="Pogrubienie"/>
          <w:bCs/>
        </w:rPr>
        <w:fldChar w:fldCharType="end"/>
      </w:r>
      <w:r w:rsidRPr="00670DEA">
        <w:rPr>
          <w:rStyle w:val="Pogrubienie"/>
          <w:bCs/>
        </w:rPr>
        <w:t xml:space="preserve"> Zmiany czynników wytwórczych w polskim rolnictwie w latach 2004-2013</w:t>
      </w:r>
    </w:p>
    <w:tbl>
      <w:tblPr>
        <w:tblW w:w="918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19"/>
        <w:gridCol w:w="1290"/>
        <w:gridCol w:w="1290"/>
        <w:gridCol w:w="1290"/>
        <w:gridCol w:w="1291"/>
      </w:tblGrid>
      <w:tr w:rsidR="00786673" w:rsidRPr="00200ABD" w:rsidTr="0051132A">
        <w:trPr>
          <w:trHeight w:hRule="exact" w:val="340"/>
          <w:jc w:val="center"/>
        </w:trPr>
        <w:tc>
          <w:tcPr>
            <w:tcW w:w="4019" w:type="dxa"/>
            <w:vAlign w:val="center"/>
          </w:tcPr>
          <w:p w:rsidR="00786673" w:rsidRPr="00200ABD" w:rsidRDefault="00786673" w:rsidP="002125E5">
            <w:pPr>
              <w:spacing w:line="240" w:lineRule="auto"/>
            </w:pPr>
            <w:r w:rsidRPr="00200ABD">
              <w:t>Wyszczególnienie</w:t>
            </w:r>
          </w:p>
        </w:tc>
        <w:tc>
          <w:tcPr>
            <w:tcW w:w="1290" w:type="dxa"/>
            <w:vAlign w:val="center"/>
          </w:tcPr>
          <w:p w:rsidR="00786673" w:rsidRPr="008A053A" w:rsidRDefault="00786673" w:rsidP="00670DEA">
            <w:pPr>
              <w:jc w:val="center"/>
              <w:rPr>
                <w:color w:val="FF0000"/>
              </w:rPr>
            </w:pPr>
            <w:r w:rsidRPr="00EF6A95">
              <w:rPr>
                <w:color w:val="000000"/>
              </w:rPr>
              <w:t>1990</w:t>
            </w:r>
          </w:p>
        </w:tc>
        <w:tc>
          <w:tcPr>
            <w:tcW w:w="1290" w:type="dxa"/>
            <w:vAlign w:val="center"/>
          </w:tcPr>
          <w:p w:rsidR="00786673" w:rsidRPr="00200ABD" w:rsidRDefault="00786673" w:rsidP="00670DEA">
            <w:pPr>
              <w:jc w:val="center"/>
            </w:pPr>
            <w:r w:rsidRPr="00200ABD">
              <w:t>2004</w:t>
            </w:r>
          </w:p>
        </w:tc>
        <w:tc>
          <w:tcPr>
            <w:tcW w:w="1290" w:type="dxa"/>
            <w:vAlign w:val="center"/>
          </w:tcPr>
          <w:p w:rsidR="00786673" w:rsidRPr="00200ABD" w:rsidRDefault="00786673" w:rsidP="00670DEA">
            <w:pPr>
              <w:jc w:val="center"/>
            </w:pPr>
            <w:r w:rsidRPr="00200ABD">
              <w:t>2013</w:t>
            </w:r>
          </w:p>
        </w:tc>
        <w:tc>
          <w:tcPr>
            <w:tcW w:w="1291" w:type="dxa"/>
            <w:vAlign w:val="center"/>
          </w:tcPr>
          <w:p w:rsidR="00786673" w:rsidRPr="00200ABD" w:rsidRDefault="00786673" w:rsidP="002125E5">
            <w:pPr>
              <w:jc w:val="center"/>
            </w:pPr>
            <w:r>
              <w:t>Indeks:</w:t>
            </w:r>
            <w:r w:rsidRPr="00200ABD">
              <w:t>2004 =100</w:t>
            </w:r>
          </w:p>
        </w:tc>
      </w:tr>
      <w:tr w:rsidR="00786673" w:rsidRPr="00200ABD" w:rsidTr="0051132A">
        <w:trPr>
          <w:trHeight w:hRule="exact" w:val="340"/>
          <w:jc w:val="center"/>
        </w:trPr>
        <w:tc>
          <w:tcPr>
            <w:tcW w:w="4019" w:type="dxa"/>
            <w:vAlign w:val="center"/>
          </w:tcPr>
          <w:p w:rsidR="00786673" w:rsidRPr="00200ABD" w:rsidRDefault="00786673" w:rsidP="002125E5">
            <w:r w:rsidRPr="00200ABD">
              <w:t>Użytki rolne [mln ha]</w:t>
            </w:r>
          </w:p>
        </w:tc>
        <w:tc>
          <w:tcPr>
            <w:tcW w:w="1290" w:type="dxa"/>
            <w:vAlign w:val="center"/>
          </w:tcPr>
          <w:p w:rsidR="00786673" w:rsidRPr="00200ABD" w:rsidRDefault="00786673" w:rsidP="00670DEA">
            <w:pPr>
              <w:jc w:val="center"/>
            </w:pPr>
            <w:r>
              <w:t>18,8</w:t>
            </w:r>
          </w:p>
        </w:tc>
        <w:tc>
          <w:tcPr>
            <w:tcW w:w="1290" w:type="dxa"/>
            <w:vAlign w:val="center"/>
          </w:tcPr>
          <w:p w:rsidR="00786673" w:rsidRPr="00200ABD" w:rsidRDefault="00786673" w:rsidP="00670DEA">
            <w:pPr>
              <w:jc w:val="center"/>
            </w:pPr>
            <w:r w:rsidRPr="00200ABD">
              <w:t>16,3</w:t>
            </w:r>
          </w:p>
        </w:tc>
        <w:tc>
          <w:tcPr>
            <w:tcW w:w="1290" w:type="dxa"/>
            <w:vAlign w:val="center"/>
          </w:tcPr>
          <w:p w:rsidR="00786673" w:rsidRPr="00200ABD" w:rsidRDefault="00786673" w:rsidP="00670DEA">
            <w:pPr>
              <w:jc w:val="center"/>
            </w:pPr>
            <w:r w:rsidRPr="00200ABD">
              <w:t>14,6</w:t>
            </w:r>
          </w:p>
        </w:tc>
        <w:tc>
          <w:tcPr>
            <w:tcW w:w="1291" w:type="dxa"/>
            <w:vAlign w:val="center"/>
          </w:tcPr>
          <w:p w:rsidR="00786673" w:rsidRPr="00200ABD" w:rsidRDefault="00786673" w:rsidP="00670DEA">
            <w:pPr>
              <w:jc w:val="center"/>
            </w:pPr>
            <w:r w:rsidRPr="00200ABD">
              <w:rPr>
                <w:i/>
                <w:iCs/>
              </w:rPr>
              <w:t>89,6</w:t>
            </w:r>
          </w:p>
        </w:tc>
      </w:tr>
      <w:tr w:rsidR="00786673" w:rsidRPr="00200ABD" w:rsidTr="0051132A">
        <w:trPr>
          <w:trHeight w:hRule="exact" w:val="340"/>
          <w:jc w:val="center"/>
        </w:trPr>
        <w:tc>
          <w:tcPr>
            <w:tcW w:w="4019" w:type="dxa"/>
            <w:vAlign w:val="center"/>
          </w:tcPr>
          <w:p w:rsidR="00786673" w:rsidRPr="00200ABD" w:rsidRDefault="00786673" w:rsidP="002125E5">
            <w:r w:rsidRPr="00200ABD">
              <w:t>Liczba gospodarstw [</w:t>
            </w:r>
            <w:r w:rsidRPr="002125E5">
              <w:t>t</w:t>
            </w:r>
            <w:r w:rsidRPr="00200ABD">
              <w:t>ys.]</w:t>
            </w:r>
          </w:p>
        </w:tc>
        <w:tc>
          <w:tcPr>
            <w:tcW w:w="1290" w:type="dxa"/>
            <w:vAlign w:val="center"/>
          </w:tcPr>
          <w:p w:rsidR="00786673" w:rsidRPr="00200ABD" w:rsidRDefault="00786673" w:rsidP="00670DEA">
            <w:pPr>
              <w:jc w:val="center"/>
            </w:pPr>
            <w:r>
              <w:t>2138</w:t>
            </w:r>
          </w:p>
        </w:tc>
        <w:tc>
          <w:tcPr>
            <w:tcW w:w="1290" w:type="dxa"/>
            <w:vAlign w:val="center"/>
          </w:tcPr>
          <w:p w:rsidR="00786673" w:rsidRPr="00200ABD" w:rsidRDefault="00786673" w:rsidP="00670DEA">
            <w:pPr>
              <w:jc w:val="center"/>
            </w:pPr>
            <w:r w:rsidRPr="00200ABD">
              <w:t>1854</w:t>
            </w:r>
          </w:p>
        </w:tc>
        <w:tc>
          <w:tcPr>
            <w:tcW w:w="1290" w:type="dxa"/>
            <w:vAlign w:val="center"/>
          </w:tcPr>
          <w:p w:rsidR="00786673" w:rsidRPr="00200ABD" w:rsidRDefault="00786673" w:rsidP="00670DEA">
            <w:pPr>
              <w:jc w:val="center"/>
            </w:pPr>
            <w:r w:rsidRPr="00200ABD">
              <w:t>1395</w:t>
            </w:r>
          </w:p>
        </w:tc>
        <w:tc>
          <w:tcPr>
            <w:tcW w:w="1291" w:type="dxa"/>
            <w:vAlign w:val="center"/>
          </w:tcPr>
          <w:p w:rsidR="00786673" w:rsidRPr="00200ABD" w:rsidRDefault="00786673" w:rsidP="00670DEA">
            <w:pPr>
              <w:jc w:val="center"/>
            </w:pPr>
            <w:r w:rsidRPr="00200ABD">
              <w:rPr>
                <w:i/>
                <w:iCs/>
              </w:rPr>
              <w:t>75,2</w:t>
            </w:r>
          </w:p>
        </w:tc>
      </w:tr>
      <w:tr w:rsidR="00786673" w:rsidRPr="00200ABD" w:rsidTr="0051132A">
        <w:trPr>
          <w:trHeight w:hRule="exact" w:val="340"/>
          <w:jc w:val="center"/>
        </w:trPr>
        <w:tc>
          <w:tcPr>
            <w:tcW w:w="4019" w:type="dxa"/>
            <w:vAlign w:val="center"/>
          </w:tcPr>
          <w:p w:rsidR="00786673" w:rsidRPr="00200ABD" w:rsidRDefault="00786673" w:rsidP="002125E5">
            <w:r w:rsidRPr="002125E5">
              <w:t>Odsetek gospodarstw powyżej 10 ha</w:t>
            </w:r>
            <w:r>
              <w:t xml:space="preserve"> [%]</w:t>
            </w:r>
          </w:p>
        </w:tc>
        <w:tc>
          <w:tcPr>
            <w:tcW w:w="1290" w:type="dxa"/>
            <w:vAlign w:val="center"/>
          </w:tcPr>
          <w:p w:rsidR="00786673" w:rsidRPr="00EF6A95" w:rsidRDefault="00786673" w:rsidP="00670DEA">
            <w:pPr>
              <w:jc w:val="center"/>
              <w:rPr>
                <w:color w:val="000000"/>
              </w:rPr>
            </w:pPr>
            <w:r w:rsidRPr="00EF6A95">
              <w:rPr>
                <w:color w:val="000000"/>
              </w:rPr>
              <w:t>17,2</w:t>
            </w:r>
          </w:p>
        </w:tc>
        <w:tc>
          <w:tcPr>
            <w:tcW w:w="1290" w:type="dxa"/>
            <w:vAlign w:val="center"/>
          </w:tcPr>
          <w:p w:rsidR="00786673" w:rsidRPr="00200ABD" w:rsidRDefault="00786673" w:rsidP="00670DEA">
            <w:pPr>
              <w:jc w:val="center"/>
            </w:pPr>
            <w:r w:rsidRPr="00200ABD">
              <w:t>20,1</w:t>
            </w:r>
          </w:p>
        </w:tc>
        <w:tc>
          <w:tcPr>
            <w:tcW w:w="1290" w:type="dxa"/>
            <w:vAlign w:val="center"/>
          </w:tcPr>
          <w:p w:rsidR="00786673" w:rsidRPr="00200ABD" w:rsidRDefault="00786673" w:rsidP="00670DEA">
            <w:pPr>
              <w:jc w:val="center"/>
            </w:pPr>
            <w:r w:rsidRPr="00200ABD">
              <w:t>23,8</w:t>
            </w:r>
          </w:p>
        </w:tc>
        <w:tc>
          <w:tcPr>
            <w:tcW w:w="1291" w:type="dxa"/>
            <w:vAlign w:val="center"/>
          </w:tcPr>
          <w:p w:rsidR="00786673" w:rsidRPr="00200ABD" w:rsidRDefault="00786673" w:rsidP="00670DEA">
            <w:pPr>
              <w:jc w:val="center"/>
            </w:pPr>
            <w:r w:rsidRPr="00200ABD">
              <w:rPr>
                <w:i/>
                <w:iCs/>
              </w:rPr>
              <w:t>118,4</w:t>
            </w:r>
          </w:p>
        </w:tc>
      </w:tr>
      <w:tr w:rsidR="00786673" w:rsidRPr="00200ABD" w:rsidTr="0051132A">
        <w:trPr>
          <w:trHeight w:hRule="exact" w:val="340"/>
          <w:jc w:val="center"/>
        </w:trPr>
        <w:tc>
          <w:tcPr>
            <w:tcW w:w="4019" w:type="dxa"/>
            <w:vAlign w:val="center"/>
          </w:tcPr>
          <w:p w:rsidR="00786673" w:rsidRPr="00200ABD" w:rsidRDefault="00786673" w:rsidP="002125E5">
            <w:r w:rsidRPr="00200ABD">
              <w:t>Średnia powierzchnia gospodarstwa [ha]</w:t>
            </w:r>
          </w:p>
        </w:tc>
        <w:tc>
          <w:tcPr>
            <w:tcW w:w="1290" w:type="dxa"/>
            <w:vAlign w:val="center"/>
          </w:tcPr>
          <w:p w:rsidR="00786673" w:rsidRPr="00EF6A95" w:rsidRDefault="00786673" w:rsidP="00670DEA">
            <w:pPr>
              <w:jc w:val="center"/>
              <w:rPr>
                <w:color w:val="000000"/>
              </w:rPr>
            </w:pPr>
            <w:r w:rsidRPr="00EF6A95">
              <w:rPr>
                <w:color w:val="000000"/>
              </w:rPr>
              <w:t>8,6</w:t>
            </w:r>
          </w:p>
        </w:tc>
        <w:tc>
          <w:tcPr>
            <w:tcW w:w="1290" w:type="dxa"/>
            <w:vAlign w:val="center"/>
          </w:tcPr>
          <w:p w:rsidR="00786673" w:rsidRPr="00200ABD" w:rsidRDefault="00786673" w:rsidP="00670DEA">
            <w:pPr>
              <w:jc w:val="center"/>
            </w:pPr>
            <w:r>
              <w:t>8,8</w:t>
            </w:r>
          </w:p>
        </w:tc>
        <w:tc>
          <w:tcPr>
            <w:tcW w:w="1290" w:type="dxa"/>
            <w:vAlign w:val="center"/>
          </w:tcPr>
          <w:p w:rsidR="00786673" w:rsidRPr="00200ABD" w:rsidRDefault="00786673" w:rsidP="00670DEA">
            <w:pPr>
              <w:jc w:val="center"/>
            </w:pPr>
            <w:r w:rsidRPr="00200ABD">
              <w:t>9,5</w:t>
            </w:r>
          </w:p>
        </w:tc>
        <w:tc>
          <w:tcPr>
            <w:tcW w:w="1291" w:type="dxa"/>
            <w:vAlign w:val="center"/>
          </w:tcPr>
          <w:p w:rsidR="00786673" w:rsidRPr="00200ABD" w:rsidRDefault="00786673" w:rsidP="00670DEA">
            <w:pPr>
              <w:jc w:val="center"/>
            </w:pPr>
            <w:r w:rsidRPr="00200ABD">
              <w:rPr>
                <w:i/>
                <w:iCs/>
              </w:rPr>
              <w:t>126,7</w:t>
            </w:r>
          </w:p>
        </w:tc>
      </w:tr>
      <w:tr w:rsidR="00786673" w:rsidRPr="00200ABD" w:rsidTr="0051132A">
        <w:trPr>
          <w:trHeight w:hRule="exact" w:val="340"/>
          <w:jc w:val="center"/>
        </w:trPr>
        <w:tc>
          <w:tcPr>
            <w:tcW w:w="4019" w:type="dxa"/>
            <w:vAlign w:val="center"/>
          </w:tcPr>
          <w:p w:rsidR="00786673" w:rsidRPr="00200ABD" w:rsidRDefault="00786673" w:rsidP="0051132A">
            <w:r w:rsidRPr="00200ABD">
              <w:t xml:space="preserve">Liczba zatrudnionych w rolnictwie </w:t>
            </w:r>
            <w:r>
              <w:t>[</w:t>
            </w:r>
            <w:r w:rsidRPr="00200ABD">
              <w:t>mln]</w:t>
            </w:r>
          </w:p>
        </w:tc>
        <w:tc>
          <w:tcPr>
            <w:tcW w:w="1290" w:type="dxa"/>
            <w:vAlign w:val="center"/>
          </w:tcPr>
          <w:p w:rsidR="00786673" w:rsidRPr="00200ABD" w:rsidRDefault="00786673" w:rsidP="00670DEA">
            <w:pPr>
              <w:jc w:val="center"/>
            </w:pPr>
            <w:r>
              <w:t>3,8</w:t>
            </w:r>
          </w:p>
        </w:tc>
        <w:tc>
          <w:tcPr>
            <w:tcW w:w="1290" w:type="dxa"/>
            <w:vAlign w:val="center"/>
          </w:tcPr>
          <w:p w:rsidR="00786673" w:rsidRPr="00200ABD" w:rsidRDefault="00786673" w:rsidP="00670DEA">
            <w:pPr>
              <w:jc w:val="center"/>
            </w:pPr>
            <w:r w:rsidRPr="00200ABD">
              <w:t>2,4</w:t>
            </w:r>
          </w:p>
        </w:tc>
        <w:tc>
          <w:tcPr>
            <w:tcW w:w="1290" w:type="dxa"/>
            <w:vAlign w:val="center"/>
          </w:tcPr>
          <w:p w:rsidR="00786673" w:rsidRPr="00200ABD" w:rsidRDefault="00786673" w:rsidP="00670DEA">
            <w:pPr>
              <w:jc w:val="center"/>
            </w:pPr>
            <w:r w:rsidRPr="00200ABD">
              <w:t>1,8</w:t>
            </w:r>
          </w:p>
        </w:tc>
        <w:tc>
          <w:tcPr>
            <w:tcW w:w="1291" w:type="dxa"/>
            <w:vAlign w:val="center"/>
          </w:tcPr>
          <w:p w:rsidR="00786673" w:rsidRPr="00200ABD" w:rsidRDefault="00786673" w:rsidP="00670DEA">
            <w:pPr>
              <w:jc w:val="center"/>
            </w:pPr>
            <w:r w:rsidRPr="00200ABD">
              <w:rPr>
                <w:i/>
                <w:iCs/>
              </w:rPr>
              <w:t>75,0</w:t>
            </w:r>
          </w:p>
        </w:tc>
      </w:tr>
      <w:tr w:rsidR="00786673" w:rsidRPr="00200ABD" w:rsidTr="0051132A">
        <w:trPr>
          <w:trHeight w:hRule="exact" w:val="340"/>
          <w:jc w:val="center"/>
        </w:trPr>
        <w:tc>
          <w:tcPr>
            <w:tcW w:w="4019" w:type="dxa"/>
            <w:vAlign w:val="center"/>
          </w:tcPr>
          <w:p w:rsidR="00786673" w:rsidRPr="00200ABD" w:rsidRDefault="00786673" w:rsidP="002125E5">
            <w:r>
              <w:t>Siła pociągowa w rolnictwie [tys. kW]</w:t>
            </w:r>
          </w:p>
        </w:tc>
        <w:tc>
          <w:tcPr>
            <w:tcW w:w="1290" w:type="dxa"/>
            <w:vAlign w:val="center"/>
          </w:tcPr>
          <w:p w:rsidR="00786673" w:rsidRDefault="00786673" w:rsidP="00670DEA">
            <w:pPr>
              <w:jc w:val="center"/>
            </w:pPr>
            <w:r>
              <w:t>36498</w:t>
            </w:r>
          </w:p>
        </w:tc>
        <w:tc>
          <w:tcPr>
            <w:tcW w:w="1290" w:type="dxa"/>
            <w:vAlign w:val="center"/>
          </w:tcPr>
          <w:p w:rsidR="00786673" w:rsidRPr="00200ABD" w:rsidRDefault="00786673" w:rsidP="00670DEA">
            <w:pPr>
              <w:jc w:val="center"/>
            </w:pPr>
            <w:r>
              <w:t>52012</w:t>
            </w:r>
          </w:p>
        </w:tc>
        <w:tc>
          <w:tcPr>
            <w:tcW w:w="1290" w:type="dxa"/>
            <w:vAlign w:val="center"/>
          </w:tcPr>
          <w:p w:rsidR="00786673" w:rsidRPr="00200ABD" w:rsidRDefault="00786673" w:rsidP="00670DEA">
            <w:pPr>
              <w:jc w:val="center"/>
            </w:pPr>
            <w:r>
              <w:t>61030</w:t>
            </w:r>
          </w:p>
        </w:tc>
        <w:tc>
          <w:tcPr>
            <w:tcW w:w="1291" w:type="dxa"/>
            <w:vAlign w:val="center"/>
          </w:tcPr>
          <w:p w:rsidR="00786673" w:rsidRPr="00200ABD" w:rsidRDefault="00786673" w:rsidP="00670DE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117,3</w:t>
            </w:r>
          </w:p>
        </w:tc>
      </w:tr>
    </w:tbl>
    <w:p w:rsidR="00786673" w:rsidRPr="00670DEA" w:rsidRDefault="00786673" w:rsidP="00670DEA">
      <w:pPr>
        <w:pStyle w:val="Cytat"/>
      </w:pPr>
      <w:r w:rsidRPr="00670DEA">
        <w:t>Źródło: GUS – Rolnictwo w 2013 roku</w:t>
      </w:r>
      <w:r>
        <w:t>, Rocznik statystyczny GUS</w:t>
      </w:r>
    </w:p>
    <w:p w:rsidR="00786673" w:rsidRPr="002125E5" w:rsidRDefault="00786673" w:rsidP="002125E5">
      <w:pPr>
        <w:jc w:val="both"/>
      </w:pPr>
      <w:r w:rsidRPr="002125E5">
        <w:t>Na szczególne podkreślenie zasługują zmiany jakie dokonały się w analizowanym okresie w odniesieniu do ziemi uprawnej –</w:t>
      </w:r>
      <w:r>
        <w:t xml:space="preserve"> </w:t>
      </w:r>
      <w:r w:rsidRPr="002125E5">
        <w:t xml:space="preserve">podstawowego czynnika produkcji w rolnictwie. Odnotować należy zmniejszającą się powierzchnię użytków rolnych, co miało oczywisty związek z procesem intensywnego rozwoju społeczno-gospodarczego kraju, jak również wypadania z użytkowania rolniczego gleb marginalnych. Powolne zmiany zachodzą natomiast w strukturze obszarowej gospodarstw w Polsce. Jest ona silnie rozdrobniona, z liczebną przewagą gospodarstw z bardzo małą i małą powierzchnią. Przyjmując umowną granicę 10 ha użytków rolnych, w 1990 roku gospodarstwa z powierzchnią poniżej tej granicy stanowiły </w:t>
      </w:r>
      <w:r w:rsidRPr="00512DA0">
        <w:t>tylko 17,2% łącznej</w:t>
      </w:r>
      <w:r w:rsidRPr="002125E5">
        <w:t xml:space="preserve"> liczby gospodarstw, podczas gdy w 2013 roku odsetek takich gospodarstw wzrósł do 23,8%. Powiększanie się sektora gospodarstw większych obszarowo skutkowało wzrostem średniej powierzchni gospodarstwa rolniczego w Polsce </w:t>
      </w:r>
      <w:r w:rsidRPr="00EF6A95">
        <w:t>– z 8,6 ha w 1990 roku do 9,5 ha w 2013 roku. Należy podkreślić, że wzrost przeciętnej powierzchni</w:t>
      </w:r>
      <w:r>
        <w:t xml:space="preserve"> gospodarstw następował mimo znaczącego ubytku powierzchni UR. </w:t>
      </w:r>
      <w:r w:rsidRPr="002125E5">
        <w:t>Jednocześnie nastąpił znaczący, bo o ponad 50% spadek liczby zatrudnionych w rolnictwie.</w:t>
      </w:r>
    </w:p>
    <w:p w:rsidR="00786673" w:rsidRPr="002125E5" w:rsidRDefault="00786673" w:rsidP="002125E5">
      <w:pPr>
        <w:jc w:val="both"/>
      </w:pPr>
      <w:r w:rsidRPr="002125E5">
        <w:t xml:space="preserve">Silne rozdrobnienie struktury obszarowej gospodarstw, podobne do tego jakie istniało w rolnictwie Portugalii czy Grecji [Stankiewicz 1998] można rozpatrywać w kategoriach słabości polskiego sektora rolnictwa, między innymi ze względu na to, iż obniża to przeciętny poziom produktywności zasobów pracy. Jednocześnie powoduje znaczące nierównomierności w rozkładzie dochodów rolniczych. </w:t>
      </w:r>
    </w:p>
    <w:p w:rsidR="00786673" w:rsidRPr="002125E5" w:rsidRDefault="00786673" w:rsidP="002125E5">
      <w:pPr>
        <w:jc w:val="both"/>
      </w:pPr>
      <w:r w:rsidRPr="002125E5">
        <w:t xml:space="preserve">Niekorzystna struktura obszarowa może być też czynnikiem obniżającym konkurencyjność rolnictwa w skali międzynarodowej. Jednakże, w przypadku rolnictwa w Polsce, słabość sektora wynikająca z dużej liczby drobnych, nieżywotnych ekonomicznie gospodarstw rekompensowana jest znaczącą przewagą większych obszarowo gospodarstw towarowych w użytkowaniu ziemi rolniczej (tabela 3). Przy utrzymującym się na względnie stałym </w:t>
      </w:r>
      <w:r>
        <w:t>udziale</w:t>
      </w:r>
      <w:r w:rsidRPr="002125E5">
        <w:t xml:space="preserve"> gospodarstw najmniejszych sukcesywnie rośnie w Polsce liczba gospodarstw większych obszarowo, tym samym zwiększa się ich udział w zagospodarowaniu użytków rolnych.</w:t>
      </w:r>
    </w:p>
    <w:p w:rsidR="00786673" w:rsidRPr="00670DEA" w:rsidRDefault="00786673" w:rsidP="00670DEA">
      <w:pPr>
        <w:jc w:val="both"/>
        <w:rPr>
          <w:rStyle w:val="Pogrubienie"/>
          <w:bCs/>
        </w:rPr>
      </w:pPr>
      <w:r w:rsidRPr="00670DEA">
        <w:rPr>
          <w:rStyle w:val="Pogrubienie"/>
          <w:bCs/>
        </w:rPr>
        <w:t xml:space="preserve">Tabela </w:t>
      </w:r>
      <w:r w:rsidR="00290E27" w:rsidRPr="00670DEA">
        <w:rPr>
          <w:rStyle w:val="Pogrubienie"/>
          <w:bCs/>
        </w:rPr>
        <w:fldChar w:fldCharType="begin"/>
      </w:r>
      <w:r w:rsidRPr="00670DEA">
        <w:rPr>
          <w:rStyle w:val="Pogrubienie"/>
          <w:bCs/>
        </w:rPr>
        <w:instrText xml:space="preserve"> SEQ Tabela \* ARABIC </w:instrText>
      </w:r>
      <w:r w:rsidR="00290E27" w:rsidRPr="00670DEA">
        <w:rPr>
          <w:rStyle w:val="Pogrubienie"/>
          <w:bCs/>
        </w:rPr>
        <w:fldChar w:fldCharType="separate"/>
      </w:r>
      <w:r>
        <w:rPr>
          <w:rStyle w:val="Pogrubienie"/>
          <w:bCs/>
          <w:noProof/>
        </w:rPr>
        <w:t>3</w:t>
      </w:r>
      <w:r w:rsidR="00290E27" w:rsidRPr="00670DEA">
        <w:rPr>
          <w:rStyle w:val="Pogrubienie"/>
          <w:bCs/>
        </w:rPr>
        <w:fldChar w:fldCharType="end"/>
      </w:r>
      <w:r>
        <w:rPr>
          <w:rStyle w:val="Pogrubienie"/>
          <w:bCs/>
        </w:rPr>
        <w:t xml:space="preserve"> </w:t>
      </w:r>
      <w:r w:rsidRPr="00670DEA">
        <w:rPr>
          <w:rStyle w:val="Pogrubienie"/>
          <w:bCs/>
        </w:rPr>
        <w:t>Zmiany czynników wytwórczych w polskim rolnictwie w latach 2004-2013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87"/>
        <w:gridCol w:w="2295"/>
        <w:gridCol w:w="2295"/>
        <w:gridCol w:w="2295"/>
      </w:tblGrid>
      <w:tr w:rsidR="00786673" w:rsidRPr="00200ABD" w:rsidTr="00224778">
        <w:trPr>
          <w:trHeight w:val="722"/>
        </w:trPr>
        <w:tc>
          <w:tcPr>
            <w:tcW w:w="2187" w:type="dxa"/>
            <w:vAlign w:val="center"/>
          </w:tcPr>
          <w:p w:rsidR="00786673" w:rsidRPr="00200ABD" w:rsidRDefault="00786673" w:rsidP="002125E5">
            <w:pPr>
              <w:spacing w:line="240" w:lineRule="auto"/>
              <w:jc w:val="center"/>
            </w:pPr>
            <w:r w:rsidRPr="002125E5">
              <w:t>Klasa obszarowa gospodarstw (ha)</w:t>
            </w:r>
          </w:p>
        </w:tc>
        <w:tc>
          <w:tcPr>
            <w:tcW w:w="2295" w:type="dxa"/>
            <w:vAlign w:val="center"/>
          </w:tcPr>
          <w:p w:rsidR="00786673" w:rsidRPr="002125E5" w:rsidRDefault="00786673" w:rsidP="002125E5">
            <w:pPr>
              <w:spacing w:line="240" w:lineRule="auto"/>
              <w:jc w:val="center"/>
            </w:pPr>
            <w:r w:rsidRPr="002125E5">
              <w:t>Odsetek łącznej liczby gospodarstw</w:t>
            </w:r>
          </w:p>
        </w:tc>
        <w:tc>
          <w:tcPr>
            <w:tcW w:w="2295" w:type="dxa"/>
            <w:vAlign w:val="center"/>
          </w:tcPr>
          <w:p w:rsidR="00786673" w:rsidRPr="00200ABD" w:rsidRDefault="00786673" w:rsidP="002125E5">
            <w:pPr>
              <w:spacing w:line="240" w:lineRule="auto"/>
              <w:jc w:val="center"/>
            </w:pPr>
            <w:r w:rsidRPr="002125E5">
              <w:t>Odsetek użytków rolnych</w:t>
            </w:r>
          </w:p>
        </w:tc>
        <w:tc>
          <w:tcPr>
            <w:tcW w:w="2295" w:type="dxa"/>
            <w:vAlign w:val="center"/>
          </w:tcPr>
          <w:p w:rsidR="00786673" w:rsidRPr="00200ABD" w:rsidRDefault="00786673" w:rsidP="002125E5">
            <w:pPr>
              <w:spacing w:line="240" w:lineRule="auto"/>
              <w:jc w:val="center"/>
            </w:pPr>
            <w:r w:rsidRPr="002125E5">
              <w:t>Średnia powierzchnia gospodarstwa (ha)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2187" w:type="dxa"/>
            <w:vAlign w:val="center"/>
          </w:tcPr>
          <w:p w:rsidR="00786673" w:rsidRPr="00200ABD" w:rsidRDefault="00786673" w:rsidP="002125E5">
            <w:pPr>
              <w:spacing w:line="240" w:lineRule="auto"/>
            </w:pPr>
            <w:r>
              <w:t>1-5</w:t>
            </w:r>
          </w:p>
        </w:tc>
        <w:tc>
          <w:tcPr>
            <w:tcW w:w="2295" w:type="dxa"/>
            <w:vAlign w:val="center"/>
          </w:tcPr>
          <w:p w:rsidR="00786673" w:rsidRPr="002125E5" w:rsidRDefault="00786673" w:rsidP="002125E5">
            <w:pPr>
              <w:spacing w:line="240" w:lineRule="auto"/>
              <w:jc w:val="center"/>
            </w:pPr>
            <w:r w:rsidRPr="002125E5">
              <w:t>57</w:t>
            </w:r>
          </w:p>
        </w:tc>
        <w:tc>
          <w:tcPr>
            <w:tcW w:w="2295" w:type="dxa"/>
            <w:vAlign w:val="center"/>
          </w:tcPr>
          <w:p w:rsidR="00786673" w:rsidRPr="002125E5" w:rsidRDefault="00786673" w:rsidP="002125E5">
            <w:pPr>
              <w:spacing w:line="240" w:lineRule="auto"/>
              <w:jc w:val="center"/>
            </w:pPr>
            <w:r w:rsidRPr="002125E5">
              <w:t>16</w:t>
            </w:r>
          </w:p>
        </w:tc>
        <w:tc>
          <w:tcPr>
            <w:tcW w:w="2295" w:type="dxa"/>
            <w:vAlign w:val="center"/>
          </w:tcPr>
          <w:p w:rsidR="00786673" w:rsidRPr="002125E5" w:rsidRDefault="00786673" w:rsidP="002125E5">
            <w:pPr>
              <w:spacing w:line="240" w:lineRule="auto"/>
              <w:jc w:val="center"/>
            </w:pPr>
            <w:r w:rsidRPr="002125E5">
              <w:t>2,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2187" w:type="dxa"/>
            <w:vAlign w:val="center"/>
          </w:tcPr>
          <w:p w:rsidR="00786673" w:rsidRPr="00200ABD" w:rsidRDefault="00786673" w:rsidP="002125E5">
            <w:pPr>
              <w:spacing w:line="240" w:lineRule="auto"/>
            </w:pPr>
            <w:r>
              <w:t>5-10</w:t>
            </w:r>
          </w:p>
        </w:tc>
        <w:tc>
          <w:tcPr>
            <w:tcW w:w="2295" w:type="dxa"/>
            <w:vAlign w:val="center"/>
          </w:tcPr>
          <w:p w:rsidR="00786673" w:rsidRPr="002125E5" w:rsidRDefault="00786673" w:rsidP="002125E5">
            <w:pPr>
              <w:spacing w:line="240" w:lineRule="auto"/>
              <w:jc w:val="center"/>
            </w:pPr>
            <w:r w:rsidRPr="002125E5">
              <w:t>22</w:t>
            </w:r>
          </w:p>
        </w:tc>
        <w:tc>
          <w:tcPr>
            <w:tcW w:w="2295" w:type="dxa"/>
            <w:vAlign w:val="center"/>
          </w:tcPr>
          <w:p w:rsidR="00786673" w:rsidRPr="002125E5" w:rsidRDefault="00786673" w:rsidP="002125E5">
            <w:pPr>
              <w:spacing w:line="240" w:lineRule="auto"/>
              <w:jc w:val="center"/>
            </w:pPr>
            <w:r w:rsidRPr="002125E5">
              <w:t>18</w:t>
            </w:r>
          </w:p>
        </w:tc>
        <w:tc>
          <w:tcPr>
            <w:tcW w:w="2295" w:type="dxa"/>
            <w:vAlign w:val="center"/>
          </w:tcPr>
          <w:p w:rsidR="00786673" w:rsidRPr="002125E5" w:rsidRDefault="00786673" w:rsidP="002125E5">
            <w:pPr>
              <w:spacing w:line="240" w:lineRule="auto"/>
              <w:jc w:val="center"/>
            </w:pPr>
            <w:r w:rsidRPr="002125E5">
              <w:t>7,1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2187" w:type="dxa"/>
            <w:vAlign w:val="center"/>
          </w:tcPr>
          <w:p w:rsidR="00786673" w:rsidRPr="00200ABD" w:rsidRDefault="00786673" w:rsidP="002125E5">
            <w:pPr>
              <w:spacing w:line="240" w:lineRule="auto"/>
            </w:pPr>
            <w:r>
              <w:t>10-20</w:t>
            </w:r>
          </w:p>
        </w:tc>
        <w:tc>
          <w:tcPr>
            <w:tcW w:w="2295" w:type="dxa"/>
            <w:vAlign w:val="center"/>
          </w:tcPr>
          <w:p w:rsidR="00786673" w:rsidRPr="002125E5" w:rsidRDefault="00786673" w:rsidP="002125E5">
            <w:pPr>
              <w:spacing w:line="240" w:lineRule="auto"/>
              <w:jc w:val="center"/>
            </w:pPr>
            <w:r w:rsidRPr="002125E5">
              <w:t>13</w:t>
            </w:r>
          </w:p>
        </w:tc>
        <w:tc>
          <w:tcPr>
            <w:tcW w:w="2295" w:type="dxa"/>
            <w:vAlign w:val="center"/>
          </w:tcPr>
          <w:p w:rsidR="00786673" w:rsidRPr="002125E5" w:rsidRDefault="00786673" w:rsidP="002125E5">
            <w:pPr>
              <w:spacing w:line="240" w:lineRule="auto"/>
              <w:jc w:val="center"/>
            </w:pPr>
            <w:r w:rsidRPr="002125E5">
              <w:t>21</w:t>
            </w:r>
          </w:p>
        </w:tc>
        <w:tc>
          <w:tcPr>
            <w:tcW w:w="2295" w:type="dxa"/>
            <w:vAlign w:val="center"/>
          </w:tcPr>
          <w:p w:rsidR="00786673" w:rsidRPr="002125E5" w:rsidRDefault="00786673" w:rsidP="002125E5">
            <w:pPr>
              <w:spacing w:line="240" w:lineRule="auto"/>
              <w:jc w:val="center"/>
            </w:pPr>
            <w:r w:rsidRPr="002125E5">
              <w:t>13,7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2187" w:type="dxa"/>
            <w:vAlign w:val="center"/>
          </w:tcPr>
          <w:p w:rsidR="00786673" w:rsidRPr="00200ABD" w:rsidRDefault="00786673" w:rsidP="002125E5">
            <w:pPr>
              <w:spacing w:line="240" w:lineRule="auto"/>
            </w:pPr>
            <w:r>
              <w:t>20-100</w:t>
            </w:r>
          </w:p>
        </w:tc>
        <w:tc>
          <w:tcPr>
            <w:tcW w:w="2295" w:type="dxa"/>
            <w:vAlign w:val="center"/>
          </w:tcPr>
          <w:p w:rsidR="00786673" w:rsidRPr="002125E5" w:rsidRDefault="00786673" w:rsidP="002125E5">
            <w:pPr>
              <w:spacing w:line="240" w:lineRule="auto"/>
              <w:jc w:val="center"/>
            </w:pPr>
            <w:r w:rsidRPr="002125E5">
              <w:t>6,5</w:t>
            </w:r>
          </w:p>
        </w:tc>
        <w:tc>
          <w:tcPr>
            <w:tcW w:w="2295" w:type="dxa"/>
            <w:vAlign w:val="center"/>
          </w:tcPr>
          <w:p w:rsidR="00786673" w:rsidRPr="002125E5" w:rsidRDefault="00786673" w:rsidP="002125E5">
            <w:pPr>
              <w:spacing w:line="240" w:lineRule="auto"/>
              <w:jc w:val="center"/>
            </w:pPr>
            <w:r w:rsidRPr="002125E5">
              <w:t>26</w:t>
            </w:r>
          </w:p>
        </w:tc>
        <w:tc>
          <w:tcPr>
            <w:tcW w:w="2295" w:type="dxa"/>
            <w:vAlign w:val="center"/>
          </w:tcPr>
          <w:p w:rsidR="00786673" w:rsidRPr="002125E5" w:rsidRDefault="00786673" w:rsidP="002125E5">
            <w:pPr>
              <w:spacing w:line="240" w:lineRule="auto"/>
              <w:jc w:val="center"/>
            </w:pPr>
            <w:r w:rsidRPr="002125E5">
              <w:t>34,0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2187" w:type="dxa"/>
            <w:vAlign w:val="center"/>
          </w:tcPr>
          <w:p w:rsidR="00786673" w:rsidRPr="001563BC" w:rsidRDefault="00786673" w:rsidP="002125E5">
            <w:pPr>
              <w:spacing w:line="240" w:lineRule="auto"/>
            </w:pPr>
            <w:r w:rsidRPr="001563BC">
              <w:t>Powyżej 100</w:t>
            </w:r>
          </w:p>
        </w:tc>
        <w:tc>
          <w:tcPr>
            <w:tcW w:w="2295" w:type="dxa"/>
            <w:vAlign w:val="center"/>
          </w:tcPr>
          <w:p w:rsidR="00786673" w:rsidRPr="002125E5" w:rsidRDefault="00786673" w:rsidP="002125E5">
            <w:pPr>
              <w:spacing w:line="240" w:lineRule="auto"/>
              <w:jc w:val="center"/>
            </w:pPr>
            <w:r w:rsidRPr="002125E5">
              <w:t>0,5</w:t>
            </w:r>
          </w:p>
        </w:tc>
        <w:tc>
          <w:tcPr>
            <w:tcW w:w="2295" w:type="dxa"/>
            <w:vAlign w:val="center"/>
          </w:tcPr>
          <w:p w:rsidR="00786673" w:rsidRPr="002125E5" w:rsidRDefault="00786673" w:rsidP="002125E5">
            <w:pPr>
              <w:spacing w:line="240" w:lineRule="auto"/>
              <w:jc w:val="center"/>
            </w:pPr>
            <w:r w:rsidRPr="002125E5">
              <w:t>19</w:t>
            </w:r>
          </w:p>
        </w:tc>
        <w:tc>
          <w:tcPr>
            <w:tcW w:w="2295" w:type="dxa"/>
            <w:vAlign w:val="center"/>
          </w:tcPr>
          <w:p w:rsidR="00786673" w:rsidRPr="002125E5" w:rsidRDefault="00786673" w:rsidP="002125E5">
            <w:pPr>
              <w:spacing w:line="240" w:lineRule="auto"/>
              <w:jc w:val="center"/>
            </w:pPr>
            <w:r w:rsidRPr="002125E5">
              <w:t>370</w:t>
            </w:r>
          </w:p>
        </w:tc>
      </w:tr>
    </w:tbl>
    <w:p w:rsidR="00786673" w:rsidRPr="00670DEA" w:rsidRDefault="00786673" w:rsidP="00670DEA">
      <w:pPr>
        <w:pStyle w:val="Cytat"/>
      </w:pPr>
      <w:r>
        <w:t>Źródło:</w:t>
      </w:r>
      <w:r w:rsidRPr="002125E5">
        <w:t xml:space="preserve"> opracowanie własne na podstawie: Rolnictwo w 2013 roku, GUS</w:t>
      </w:r>
    </w:p>
    <w:p w:rsidR="00786673" w:rsidRPr="00E714BF" w:rsidRDefault="00786673" w:rsidP="00E714BF">
      <w:pPr>
        <w:jc w:val="both"/>
        <w:rPr>
          <w:rStyle w:val="Pogrubienie"/>
          <w:b w:val="0"/>
        </w:rPr>
      </w:pPr>
      <w:r w:rsidRPr="002125E5">
        <w:t>Zjawisko silnie postępującej koncentracji obserwuje się w Polsce również w sektorze produkcji zwierzęcej (tabela 4).</w:t>
      </w:r>
      <w:bookmarkStart w:id="0" w:name="OLE_LINK47"/>
      <w:bookmarkStart w:id="1" w:name="OLE_LINK48"/>
      <w:bookmarkStart w:id="2" w:name="OLE_LINK49"/>
    </w:p>
    <w:p w:rsidR="00786673" w:rsidRDefault="00786673">
      <w:pPr>
        <w:spacing w:after="0" w:line="240" w:lineRule="auto"/>
        <w:rPr>
          <w:rStyle w:val="Pogrubienie"/>
          <w:bCs/>
        </w:rPr>
      </w:pPr>
      <w:r>
        <w:rPr>
          <w:rStyle w:val="Pogrubienie"/>
          <w:bCs/>
        </w:rPr>
        <w:br w:type="page"/>
      </w:r>
    </w:p>
    <w:p w:rsidR="00786673" w:rsidRPr="00670DEA" w:rsidRDefault="00786673" w:rsidP="00670DEA">
      <w:pPr>
        <w:jc w:val="both"/>
        <w:rPr>
          <w:rStyle w:val="Pogrubienie"/>
          <w:bCs/>
        </w:rPr>
      </w:pPr>
      <w:r w:rsidRPr="00670DEA">
        <w:rPr>
          <w:rStyle w:val="Pogrubienie"/>
          <w:bCs/>
        </w:rPr>
        <w:t xml:space="preserve">Tabela </w:t>
      </w:r>
      <w:r w:rsidR="00290E27" w:rsidRPr="00670DEA">
        <w:rPr>
          <w:rStyle w:val="Pogrubienie"/>
          <w:bCs/>
        </w:rPr>
        <w:fldChar w:fldCharType="begin"/>
      </w:r>
      <w:r w:rsidRPr="00670DEA">
        <w:rPr>
          <w:rStyle w:val="Pogrubienie"/>
          <w:bCs/>
        </w:rPr>
        <w:instrText xml:space="preserve"> SEQ Tabela \* ARABIC </w:instrText>
      </w:r>
      <w:r w:rsidR="00290E27" w:rsidRPr="00670DEA">
        <w:rPr>
          <w:rStyle w:val="Pogrubienie"/>
          <w:bCs/>
        </w:rPr>
        <w:fldChar w:fldCharType="separate"/>
      </w:r>
      <w:r>
        <w:rPr>
          <w:rStyle w:val="Pogrubienie"/>
          <w:bCs/>
          <w:noProof/>
        </w:rPr>
        <w:t>4</w:t>
      </w:r>
      <w:r w:rsidR="00290E27" w:rsidRPr="00670DEA">
        <w:rPr>
          <w:rStyle w:val="Pogrubienie"/>
          <w:bCs/>
        </w:rPr>
        <w:fldChar w:fldCharType="end"/>
      </w:r>
      <w:bookmarkEnd w:id="0"/>
      <w:bookmarkEnd w:id="1"/>
      <w:bookmarkEnd w:id="2"/>
      <w:r>
        <w:rPr>
          <w:rStyle w:val="Pogrubienie"/>
          <w:bCs/>
        </w:rPr>
        <w:t xml:space="preserve"> </w:t>
      </w:r>
      <w:r w:rsidRPr="00670DEA">
        <w:rPr>
          <w:rStyle w:val="Pogrubienie"/>
          <w:bCs/>
        </w:rPr>
        <w:t>Koncentracja stad krów i świń w latach 1991-2013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23"/>
        <w:gridCol w:w="1712"/>
        <w:gridCol w:w="1712"/>
        <w:gridCol w:w="1712"/>
        <w:gridCol w:w="1713"/>
      </w:tblGrid>
      <w:tr w:rsidR="00786673" w:rsidRPr="00200ABD" w:rsidTr="00224778">
        <w:trPr>
          <w:trHeight w:hRule="exact" w:val="340"/>
        </w:trPr>
        <w:tc>
          <w:tcPr>
            <w:tcW w:w="2223" w:type="dxa"/>
          </w:tcPr>
          <w:p w:rsidR="00786673" w:rsidRPr="002125E5" w:rsidRDefault="00786673" w:rsidP="002125E5">
            <w:pPr>
              <w:spacing w:line="240" w:lineRule="auto"/>
            </w:pPr>
          </w:p>
        </w:tc>
        <w:tc>
          <w:tcPr>
            <w:tcW w:w="3424" w:type="dxa"/>
            <w:gridSpan w:val="2"/>
          </w:tcPr>
          <w:p w:rsidR="00786673" w:rsidRPr="002125E5" w:rsidRDefault="00786673" w:rsidP="002125E5">
            <w:pPr>
              <w:spacing w:line="240" w:lineRule="auto"/>
            </w:pPr>
            <w:r w:rsidRPr="002125E5">
              <w:t xml:space="preserve">PROCENT ŚWIŃ W STADACH </w:t>
            </w:r>
          </w:p>
        </w:tc>
        <w:tc>
          <w:tcPr>
            <w:tcW w:w="3425" w:type="dxa"/>
            <w:gridSpan w:val="2"/>
          </w:tcPr>
          <w:p w:rsidR="00786673" w:rsidRPr="002125E5" w:rsidRDefault="00786673" w:rsidP="002125E5">
            <w:pPr>
              <w:spacing w:after="0" w:line="240" w:lineRule="auto"/>
            </w:pPr>
            <w:r w:rsidRPr="002125E5">
              <w:t>PROCENT KRÓW W STADACH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2223" w:type="dxa"/>
          </w:tcPr>
          <w:p w:rsidR="00786673" w:rsidRPr="002125E5" w:rsidRDefault="00786673" w:rsidP="002125E5">
            <w:pPr>
              <w:spacing w:line="240" w:lineRule="auto"/>
            </w:pPr>
            <w:r w:rsidRPr="002125E5">
              <w:t>Wielkość stada</w:t>
            </w:r>
          </w:p>
        </w:tc>
        <w:tc>
          <w:tcPr>
            <w:tcW w:w="1712" w:type="dxa"/>
          </w:tcPr>
          <w:p w:rsidR="00786673" w:rsidRPr="002125E5" w:rsidRDefault="00786673" w:rsidP="005D6F13">
            <w:pPr>
              <w:spacing w:line="240" w:lineRule="auto"/>
              <w:jc w:val="center"/>
            </w:pPr>
            <w:r w:rsidRPr="002125E5">
              <w:t>1 - 2</w:t>
            </w:r>
          </w:p>
        </w:tc>
        <w:tc>
          <w:tcPr>
            <w:tcW w:w="1712" w:type="dxa"/>
          </w:tcPr>
          <w:p w:rsidR="00786673" w:rsidRPr="002125E5" w:rsidRDefault="00786673" w:rsidP="005D6F13">
            <w:pPr>
              <w:spacing w:line="240" w:lineRule="auto"/>
              <w:jc w:val="center"/>
            </w:pPr>
            <w:r w:rsidRPr="002125E5">
              <w:t>&gt; 100</w:t>
            </w:r>
          </w:p>
        </w:tc>
        <w:tc>
          <w:tcPr>
            <w:tcW w:w="1712" w:type="dxa"/>
          </w:tcPr>
          <w:p w:rsidR="00786673" w:rsidRPr="002125E5" w:rsidRDefault="00786673" w:rsidP="005D6F13">
            <w:pPr>
              <w:spacing w:line="240" w:lineRule="auto"/>
              <w:jc w:val="center"/>
            </w:pPr>
            <w:r w:rsidRPr="002125E5">
              <w:t>1 - 2</w:t>
            </w:r>
          </w:p>
        </w:tc>
        <w:tc>
          <w:tcPr>
            <w:tcW w:w="1713" w:type="dxa"/>
          </w:tcPr>
          <w:p w:rsidR="00786673" w:rsidRPr="002125E5" w:rsidRDefault="00786673" w:rsidP="005D6F13">
            <w:pPr>
              <w:spacing w:line="240" w:lineRule="auto"/>
              <w:jc w:val="center"/>
            </w:pPr>
            <w:r w:rsidRPr="002125E5">
              <w:t>&gt; 10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2223" w:type="dxa"/>
          </w:tcPr>
          <w:p w:rsidR="00786673" w:rsidRPr="002125E5" w:rsidRDefault="00786673" w:rsidP="002125E5">
            <w:pPr>
              <w:spacing w:line="240" w:lineRule="auto"/>
            </w:pPr>
            <w:r w:rsidRPr="002125E5">
              <w:t>1991</w:t>
            </w:r>
          </w:p>
        </w:tc>
        <w:tc>
          <w:tcPr>
            <w:tcW w:w="1712" w:type="dxa"/>
            <w:vAlign w:val="center"/>
          </w:tcPr>
          <w:p w:rsidR="00786673" w:rsidRPr="002125E5" w:rsidRDefault="00786673" w:rsidP="002125E5">
            <w:pPr>
              <w:spacing w:after="0" w:line="240" w:lineRule="auto"/>
              <w:jc w:val="center"/>
            </w:pPr>
            <w:r w:rsidRPr="002125E5">
              <w:t>12,4</w:t>
            </w:r>
          </w:p>
        </w:tc>
        <w:tc>
          <w:tcPr>
            <w:tcW w:w="1712" w:type="dxa"/>
            <w:vAlign w:val="center"/>
          </w:tcPr>
          <w:p w:rsidR="00786673" w:rsidRPr="002125E5" w:rsidRDefault="00786673" w:rsidP="002125E5">
            <w:pPr>
              <w:spacing w:after="0" w:line="240" w:lineRule="auto"/>
              <w:jc w:val="center"/>
            </w:pPr>
            <w:r w:rsidRPr="002125E5">
              <w:t>6,2</w:t>
            </w:r>
          </w:p>
        </w:tc>
        <w:tc>
          <w:tcPr>
            <w:tcW w:w="1712" w:type="dxa"/>
            <w:vAlign w:val="center"/>
          </w:tcPr>
          <w:p w:rsidR="00786673" w:rsidRPr="002125E5" w:rsidRDefault="00786673" w:rsidP="002125E5">
            <w:pPr>
              <w:spacing w:after="0" w:line="240" w:lineRule="auto"/>
              <w:jc w:val="center"/>
            </w:pPr>
            <w:r w:rsidRPr="002125E5">
              <w:t>40,6</w:t>
            </w:r>
          </w:p>
        </w:tc>
        <w:tc>
          <w:tcPr>
            <w:tcW w:w="1713" w:type="dxa"/>
            <w:vAlign w:val="center"/>
          </w:tcPr>
          <w:p w:rsidR="00786673" w:rsidRPr="002125E5" w:rsidRDefault="00786673" w:rsidP="002125E5">
            <w:pPr>
              <w:spacing w:after="0" w:line="240" w:lineRule="auto"/>
              <w:jc w:val="center"/>
            </w:pPr>
            <w:r w:rsidRPr="002125E5">
              <w:t>1,6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2223" w:type="dxa"/>
          </w:tcPr>
          <w:p w:rsidR="00786673" w:rsidRPr="002125E5" w:rsidRDefault="00786673" w:rsidP="002125E5">
            <w:pPr>
              <w:spacing w:line="240" w:lineRule="auto"/>
            </w:pPr>
            <w:r w:rsidRPr="002125E5">
              <w:t>2000</w:t>
            </w:r>
          </w:p>
        </w:tc>
        <w:tc>
          <w:tcPr>
            <w:tcW w:w="1712" w:type="dxa"/>
            <w:vAlign w:val="center"/>
          </w:tcPr>
          <w:p w:rsidR="00786673" w:rsidRPr="002125E5" w:rsidRDefault="00786673" w:rsidP="002125E5">
            <w:pPr>
              <w:spacing w:after="0" w:line="240" w:lineRule="auto"/>
              <w:jc w:val="center"/>
            </w:pPr>
            <w:r w:rsidRPr="002125E5">
              <w:t>3,8</w:t>
            </w:r>
          </w:p>
        </w:tc>
        <w:tc>
          <w:tcPr>
            <w:tcW w:w="1712" w:type="dxa"/>
            <w:vAlign w:val="center"/>
          </w:tcPr>
          <w:p w:rsidR="00786673" w:rsidRPr="002125E5" w:rsidRDefault="00786673" w:rsidP="002125E5">
            <w:pPr>
              <w:spacing w:after="0" w:line="240" w:lineRule="auto"/>
              <w:jc w:val="center"/>
            </w:pPr>
            <w:r w:rsidRPr="002125E5">
              <w:t>30,4</w:t>
            </w:r>
          </w:p>
        </w:tc>
        <w:tc>
          <w:tcPr>
            <w:tcW w:w="1712" w:type="dxa"/>
            <w:vAlign w:val="center"/>
          </w:tcPr>
          <w:p w:rsidR="00786673" w:rsidRPr="002125E5" w:rsidRDefault="00786673" w:rsidP="002125E5">
            <w:pPr>
              <w:spacing w:after="0" w:line="240" w:lineRule="auto"/>
              <w:jc w:val="center"/>
            </w:pPr>
            <w:r w:rsidRPr="002125E5">
              <w:t>34,6</w:t>
            </w:r>
          </w:p>
        </w:tc>
        <w:tc>
          <w:tcPr>
            <w:tcW w:w="1713" w:type="dxa"/>
            <w:vAlign w:val="center"/>
          </w:tcPr>
          <w:p w:rsidR="00786673" w:rsidRPr="002125E5" w:rsidRDefault="00786673" w:rsidP="002125E5">
            <w:pPr>
              <w:spacing w:after="0" w:line="240" w:lineRule="auto"/>
              <w:jc w:val="center"/>
            </w:pPr>
            <w:r w:rsidRPr="002125E5">
              <w:t>22,9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2223" w:type="dxa"/>
          </w:tcPr>
          <w:p w:rsidR="00786673" w:rsidRPr="002125E5" w:rsidRDefault="00786673" w:rsidP="002125E5">
            <w:pPr>
              <w:spacing w:line="240" w:lineRule="auto"/>
            </w:pPr>
            <w:r w:rsidRPr="002125E5">
              <w:t>2005</w:t>
            </w:r>
          </w:p>
        </w:tc>
        <w:tc>
          <w:tcPr>
            <w:tcW w:w="1712" w:type="dxa"/>
            <w:vAlign w:val="center"/>
          </w:tcPr>
          <w:p w:rsidR="00786673" w:rsidRPr="002125E5" w:rsidRDefault="00786673" w:rsidP="002125E5">
            <w:pPr>
              <w:spacing w:after="0" w:line="240" w:lineRule="auto"/>
              <w:jc w:val="center"/>
            </w:pPr>
            <w:r w:rsidRPr="002125E5">
              <w:t>2,5</w:t>
            </w:r>
          </w:p>
        </w:tc>
        <w:tc>
          <w:tcPr>
            <w:tcW w:w="1712" w:type="dxa"/>
            <w:vAlign w:val="center"/>
          </w:tcPr>
          <w:p w:rsidR="00786673" w:rsidRPr="002125E5" w:rsidRDefault="00786673" w:rsidP="002125E5">
            <w:pPr>
              <w:spacing w:after="0" w:line="240" w:lineRule="auto"/>
              <w:jc w:val="center"/>
            </w:pPr>
            <w:r w:rsidRPr="002125E5">
              <w:t>44,5</w:t>
            </w:r>
          </w:p>
        </w:tc>
        <w:tc>
          <w:tcPr>
            <w:tcW w:w="1712" w:type="dxa"/>
            <w:vAlign w:val="center"/>
          </w:tcPr>
          <w:p w:rsidR="00786673" w:rsidRPr="002125E5" w:rsidRDefault="00786673" w:rsidP="002125E5">
            <w:pPr>
              <w:spacing w:after="0" w:line="240" w:lineRule="auto"/>
              <w:jc w:val="center"/>
            </w:pPr>
            <w:r w:rsidRPr="002125E5">
              <w:t>22,2</w:t>
            </w:r>
          </w:p>
        </w:tc>
        <w:tc>
          <w:tcPr>
            <w:tcW w:w="1713" w:type="dxa"/>
            <w:vAlign w:val="center"/>
          </w:tcPr>
          <w:p w:rsidR="00786673" w:rsidRPr="002125E5" w:rsidRDefault="00786673" w:rsidP="002125E5">
            <w:pPr>
              <w:spacing w:after="0" w:line="240" w:lineRule="auto"/>
              <w:jc w:val="center"/>
            </w:pPr>
            <w:r w:rsidRPr="002125E5">
              <w:t>50,2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2223" w:type="dxa"/>
          </w:tcPr>
          <w:p w:rsidR="00786673" w:rsidRPr="002125E5" w:rsidRDefault="00786673" w:rsidP="002125E5">
            <w:pPr>
              <w:spacing w:line="240" w:lineRule="auto"/>
            </w:pPr>
            <w:r w:rsidRPr="002125E5">
              <w:t>2013</w:t>
            </w:r>
          </w:p>
        </w:tc>
        <w:tc>
          <w:tcPr>
            <w:tcW w:w="1712" w:type="dxa"/>
            <w:vAlign w:val="center"/>
          </w:tcPr>
          <w:p w:rsidR="00786673" w:rsidRPr="002125E5" w:rsidRDefault="00786673" w:rsidP="002125E5">
            <w:pPr>
              <w:spacing w:after="0" w:line="240" w:lineRule="auto"/>
              <w:jc w:val="center"/>
            </w:pPr>
            <w:r w:rsidRPr="002125E5">
              <w:t>1,3</w:t>
            </w:r>
          </w:p>
        </w:tc>
        <w:tc>
          <w:tcPr>
            <w:tcW w:w="1712" w:type="dxa"/>
            <w:vAlign w:val="center"/>
          </w:tcPr>
          <w:p w:rsidR="00786673" w:rsidRPr="002125E5" w:rsidRDefault="00786673" w:rsidP="002125E5">
            <w:pPr>
              <w:spacing w:after="0" w:line="240" w:lineRule="auto"/>
              <w:jc w:val="center"/>
            </w:pPr>
            <w:r w:rsidRPr="002125E5">
              <w:t>63,4</w:t>
            </w:r>
          </w:p>
        </w:tc>
        <w:tc>
          <w:tcPr>
            <w:tcW w:w="1712" w:type="dxa"/>
            <w:vAlign w:val="center"/>
          </w:tcPr>
          <w:p w:rsidR="00786673" w:rsidRPr="002125E5" w:rsidRDefault="00786673" w:rsidP="002125E5">
            <w:pPr>
              <w:spacing w:after="0" w:line="240" w:lineRule="auto"/>
              <w:jc w:val="center"/>
            </w:pPr>
            <w:r w:rsidRPr="002125E5">
              <w:t>10,1</w:t>
            </w:r>
          </w:p>
        </w:tc>
        <w:tc>
          <w:tcPr>
            <w:tcW w:w="1713" w:type="dxa"/>
            <w:vAlign w:val="center"/>
          </w:tcPr>
          <w:p w:rsidR="00786673" w:rsidRPr="002125E5" w:rsidRDefault="00786673" w:rsidP="002125E5">
            <w:pPr>
              <w:spacing w:after="0" w:line="240" w:lineRule="auto"/>
              <w:jc w:val="center"/>
            </w:pPr>
            <w:r w:rsidRPr="002125E5">
              <w:t>72,9</w:t>
            </w:r>
          </w:p>
        </w:tc>
      </w:tr>
    </w:tbl>
    <w:p w:rsidR="00786673" w:rsidRPr="002125E5" w:rsidRDefault="00786673" w:rsidP="002125E5">
      <w:pPr>
        <w:pStyle w:val="Cytat"/>
      </w:pPr>
      <w:r w:rsidRPr="002125E5">
        <w:t>Źródło:  opracowanie własne na podstawie: Rolnictwo w 2013 roku</w:t>
      </w:r>
      <w:r>
        <w:t xml:space="preserve"> i roczników statystycznych </w:t>
      </w:r>
      <w:r w:rsidRPr="002125E5">
        <w:t>GUS</w:t>
      </w:r>
    </w:p>
    <w:p w:rsidR="00786673" w:rsidRDefault="00786673" w:rsidP="002125E5">
      <w:pPr>
        <w:jc w:val="both"/>
      </w:pPr>
      <w:r>
        <w:t xml:space="preserve">W okresie 1991 – 2013 bardzo wyraźnie zmniejszył się odsetek świń i krów utrzymywanych w najmniejszych stadach (1-2 sztuki), a radykalnie zwiększyło się pogłowie zwierząt w stadach odpowiednio powyżej 100 sztuk (trzoda chlewna) i powyżej 10 krów mlecznych. </w:t>
      </w:r>
    </w:p>
    <w:p w:rsidR="00786673" w:rsidRDefault="00786673" w:rsidP="002125E5">
      <w:pPr>
        <w:jc w:val="both"/>
      </w:pPr>
      <w:r>
        <w:t xml:space="preserve">Wynika z tego, że rośnie w Polsce liczba gospodarstw powiększających swój potencjał produkcyjny i specjalizujących się w określonym kierunku produkcji. Jeśli wziąć również pod uwagę procesy modernizacyjne w rolnictwie, jakie zachodzą szczególnie po 2004 roku ze względu na wsparcie finansowe w ramach WPR, to można przyjąć, że w znacznej mierze wyjaśnia to kierunek zmian w poziomie produktywności i dochodowości w polskim rolnictwie. </w:t>
      </w:r>
    </w:p>
    <w:p w:rsidR="00786673" w:rsidRPr="00E714BF" w:rsidRDefault="00786673" w:rsidP="00E714BF">
      <w:pPr>
        <w:pStyle w:val="Nagwek1"/>
        <w:numPr>
          <w:ilvl w:val="0"/>
          <w:numId w:val="8"/>
        </w:numPr>
        <w:spacing w:before="120" w:after="120"/>
        <w:ind w:left="357" w:hanging="357"/>
        <w:rPr>
          <w:sz w:val="24"/>
          <w:szCs w:val="24"/>
        </w:rPr>
      </w:pPr>
      <w:r w:rsidRPr="00E714BF">
        <w:rPr>
          <w:sz w:val="24"/>
          <w:szCs w:val="24"/>
        </w:rPr>
        <w:t>WYNIKI PRODUKCYJNE I EKONOMICZNE W ROLNICTWIE POLSKI NA TLE UNII EUROPEJSKIEJ</w:t>
      </w:r>
    </w:p>
    <w:p w:rsidR="00786673" w:rsidRDefault="00786673" w:rsidP="002125E5">
      <w:pPr>
        <w:jc w:val="both"/>
      </w:pPr>
      <w:r>
        <w:t xml:space="preserve">Wyniki produkcyjne i ekonomiczne polskiego rolnictwa w ostatniej dekadzie porównano z wynikami osiąganymi w rolnictwie krajów Unii Europejskiej. Ten punkt odniesienia wydaje się być szczególnie uzasadniony, biorąc pod uwagę to, że wszystkie kraje członkowskie poddane są tym samym mechanizmom wspólnej polityki rolnej. Na rysunku 2 przedstawiono kształtowanie się wielkości produkcji rolniczej w Polsce i w UE-27 w latach 2002-2013. </w:t>
      </w:r>
    </w:p>
    <w:p w:rsidR="00786673" w:rsidRDefault="008007B2" w:rsidP="004D4992">
      <w:pPr>
        <w:keepNext/>
        <w:jc w:val="center"/>
      </w:pPr>
      <w:r>
        <w:rPr>
          <w:noProof/>
          <w:sz w:val="18"/>
          <w:lang w:eastAsia="pl-PL"/>
        </w:rPr>
        <w:drawing>
          <wp:inline distT="0" distB="0" distL="0" distR="0">
            <wp:extent cx="5000176" cy="2641863"/>
            <wp:effectExtent l="12187" t="6087" r="7312" b="0"/>
            <wp:docPr id="2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86673" w:rsidRPr="00670DEA" w:rsidRDefault="00786673" w:rsidP="0095512B">
      <w:pPr>
        <w:spacing w:after="0"/>
        <w:jc w:val="both"/>
        <w:rPr>
          <w:rStyle w:val="Pogrubienie"/>
          <w:bCs/>
        </w:rPr>
      </w:pPr>
      <w:r w:rsidRPr="00670DEA">
        <w:rPr>
          <w:rStyle w:val="Pogrubienie"/>
          <w:bCs/>
        </w:rPr>
        <w:t xml:space="preserve">Rysunek </w:t>
      </w:r>
      <w:r w:rsidR="00290E27" w:rsidRPr="00670DEA">
        <w:rPr>
          <w:rStyle w:val="Pogrubienie"/>
          <w:bCs/>
        </w:rPr>
        <w:fldChar w:fldCharType="begin"/>
      </w:r>
      <w:r w:rsidRPr="00670DEA">
        <w:rPr>
          <w:rStyle w:val="Pogrubienie"/>
          <w:bCs/>
        </w:rPr>
        <w:instrText xml:space="preserve"> SEQ Rysunek \* ARABIC </w:instrText>
      </w:r>
      <w:r w:rsidR="00290E27" w:rsidRPr="00670DEA">
        <w:rPr>
          <w:rStyle w:val="Pogrubienie"/>
          <w:bCs/>
        </w:rPr>
        <w:fldChar w:fldCharType="separate"/>
      </w:r>
      <w:r>
        <w:rPr>
          <w:rStyle w:val="Pogrubienie"/>
          <w:bCs/>
          <w:noProof/>
        </w:rPr>
        <w:t>2</w:t>
      </w:r>
      <w:r w:rsidR="00290E27" w:rsidRPr="00670DEA">
        <w:rPr>
          <w:rStyle w:val="Pogrubienie"/>
          <w:bCs/>
        </w:rPr>
        <w:fldChar w:fldCharType="end"/>
      </w:r>
      <w:r w:rsidRPr="00670DEA">
        <w:rPr>
          <w:rStyle w:val="Pogrubienie"/>
          <w:bCs/>
        </w:rPr>
        <w:t xml:space="preserve"> Produkcja rolnicza (ceny producenta 2005, [mln EUR])</w:t>
      </w:r>
    </w:p>
    <w:p w:rsidR="00786673" w:rsidRDefault="00786673" w:rsidP="0095512B">
      <w:pPr>
        <w:pStyle w:val="Cytat"/>
      </w:pPr>
      <w:r>
        <w:t>Źródło: Opracowanie własne na podstawie danych Eurostatu</w:t>
      </w:r>
    </w:p>
    <w:p w:rsidR="00786673" w:rsidRDefault="00786673" w:rsidP="00A7247D">
      <w:pPr>
        <w:jc w:val="both"/>
      </w:pPr>
      <w:r>
        <w:t xml:space="preserve">O ile w Polsce w całym analizowanym okresie utrzymywał się trend wzrostowy, to średnio na obszarze Unii Europejskiej produktywność ziemi pozostała na praktycznie nie zmienionym poziomie, wykazując się przy tym silnymi wahaniami w poszczególnych latach. Dynamika zmian wielkości produkcji rolniczej była silnie zróżnicowana w obrębie Unii Europejskiej  (tabela 5). </w:t>
      </w:r>
    </w:p>
    <w:p w:rsidR="00786673" w:rsidRPr="00670DEA" w:rsidRDefault="00786673" w:rsidP="00670DEA">
      <w:pPr>
        <w:jc w:val="both"/>
        <w:rPr>
          <w:rStyle w:val="Pogrubienie"/>
          <w:bCs/>
        </w:rPr>
      </w:pPr>
      <w:bookmarkStart w:id="3" w:name="OLE_LINK50"/>
      <w:bookmarkStart w:id="4" w:name="OLE_LINK51"/>
      <w:bookmarkStart w:id="5" w:name="OLE_LINK52"/>
      <w:r w:rsidRPr="00670DEA">
        <w:rPr>
          <w:rStyle w:val="Pogrubienie"/>
          <w:bCs/>
        </w:rPr>
        <w:t xml:space="preserve">Tabela </w:t>
      </w:r>
      <w:r w:rsidR="00290E27" w:rsidRPr="00670DEA">
        <w:rPr>
          <w:rStyle w:val="Pogrubienie"/>
          <w:bCs/>
        </w:rPr>
        <w:fldChar w:fldCharType="begin"/>
      </w:r>
      <w:r w:rsidRPr="00670DEA">
        <w:rPr>
          <w:rStyle w:val="Pogrubienie"/>
          <w:bCs/>
        </w:rPr>
        <w:instrText xml:space="preserve"> SEQ Tabela \* ARABIC </w:instrText>
      </w:r>
      <w:r w:rsidR="00290E27" w:rsidRPr="00670DEA">
        <w:rPr>
          <w:rStyle w:val="Pogrubienie"/>
          <w:bCs/>
        </w:rPr>
        <w:fldChar w:fldCharType="separate"/>
      </w:r>
      <w:r>
        <w:rPr>
          <w:rStyle w:val="Pogrubienie"/>
          <w:bCs/>
          <w:noProof/>
        </w:rPr>
        <w:t>5</w:t>
      </w:r>
      <w:r w:rsidR="00290E27" w:rsidRPr="00670DEA">
        <w:rPr>
          <w:rStyle w:val="Pogrubienie"/>
          <w:bCs/>
        </w:rPr>
        <w:fldChar w:fldCharType="end"/>
      </w:r>
      <w:bookmarkEnd w:id="3"/>
      <w:bookmarkEnd w:id="4"/>
      <w:bookmarkEnd w:id="5"/>
      <w:r>
        <w:rPr>
          <w:rStyle w:val="Pogrubienie"/>
          <w:bCs/>
        </w:rPr>
        <w:t xml:space="preserve"> </w:t>
      </w:r>
      <w:r w:rsidRPr="00670DEA">
        <w:rPr>
          <w:rStyle w:val="Pogrubienie"/>
          <w:bCs/>
        </w:rPr>
        <w:t>Dynamika wartości produkcji rolniczej w wybranych krajach europejskich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98"/>
        <w:gridCol w:w="3387"/>
        <w:gridCol w:w="3387"/>
      </w:tblGrid>
      <w:tr w:rsidR="00786673" w:rsidRPr="00200ABD" w:rsidTr="00224778">
        <w:trPr>
          <w:trHeight w:hRule="exact" w:val="340"/>
        </w:trPr>
        <w:tc>
          <w:tcPr>
            <w:tcW w:w="9072" w:type="dxa"/>
            <w:gridSpan w:val="3"/>
          </w:tcPr>
          <w:p w:rsidR="00786673" w:rsidRPr="00493923" w:rsidRDefault="00786673" w:rsidP="00493923">
            <w:pPr>
              <w:jc w:val="both"/>
            </w:pPr>
            <w:r w:rsidRPr="00493923">
              <w:t>NAJWIĘKSZA DYNAMIKA PRODUKCJI ROLNICZEJ (2004 = 100)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2298" w:type="dxa"/>
            <w:vAlign w:val="center"/>
          </w:tcPr>
          <w:p w:rsidR="00786673" w:rsidRPr="00493923" w:rsidRDefault="00786673" w:rsidP="00493923">
            <w:pPr>
              <w:jc w:val="both"/>
            </w:pPr>
            <w:r w:rsidRPr="00493923">
              <w:t>1</w:t>
            </w:r>
          </w:p>
        </w:tc>
        <w:tc>
          <w:tcPr>
            <w:tcW w:w="3387" w:type="dxa"/>
            <w:vAlign w:val="center"/>
          </w:tcPr>
          <w:p w:rsidR="00786673" w:rsidRPr="00493923" w:rsidRDefault="00786673" w:rsidP="00493923">
            <w:pPr>
              <w:jc w:val="both"/>
            </w:pPr>
            <w:r w:rsidRPr="00493923">
              <w:t>Łotwa</w:t>
            </w:r>
          </w:p>
        </w:tc>
        <w:tc>
          <w:tcPr>
            <w:tcW w:w="3387" w:type="dxa"/>
            <w:vAlign w:val="center"/>
          </w:tcPr>
          <w:p w:rsidR="00786673" w:rsidRPr="00493923" w:rsidRDefault="00786673" w:rsidP="00224778">
            <w:pPr>
              <w:jc w:val="center"/>
            </w:pPr>
            <w:r w:rsidRPr="00493923">
              <w:t>152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2298" w:type="dxa"/>
            <w:vAlign w:val="center"/>
          </w:tcPr>
          <w:p w:rsidR="00786673" w:rsidRPr="00493923" w:rsidRDefault="00786673" w:rsidP="00493923">
            <w:pPr>
              <w:jc w:val="both"/>
            </w:pPr>
            <w:r w:rsidRPr="00493923">
              <w:t>2</w:t>
            </w:r>
          </w:p>
        </w:tc>
        <w:tc>
          <w:tcPr>
            <w:tcW w:w="3387" w:type="dxa"/>
            <w:vAlign w:val="center"/>
          </w:tcPr>
          <w:p w:rsidR="00786673" w:rsidRPr="00493923" w:rsidRDefault="00786673" w:rsidP="00493923">
            <w:pPr>
              <w:jc w:val="both"/>
            </w:pPr>
            <w:r w:rsidRPr="00493923">
              <w:t>Litwa</w:t>
            </w:r>
          </w:p>
        </w:tc>
        <w:tc>
          <w:tcPr>
            <w:tcW w:w="3387" w:type="dxa"/>
            <w:vAlign w:val="center"/>
          </w:tcPr>
          <w:p w:rsidR="00786673" w:rsidRPr="00493923" w:rsidRDefault="00786673" w:rsidP="00224778">
            <w:pPr>
              <w:jc w:val="center"/>
            </w:pPr>
            <w:r w:rsidRPr="00493923">
              <w:t>146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2298" w:type="dxa"/>
            <w:vAlign w:val="center"/>
          </w:tcPr>
          <w:p w:rsidR="00786673" w:rsidRPr="00493923" w:rsidRDefault="00786673" w:rsidP="00493923">
            <w:pPr>
              <w:jc w:val="both"/>
            </w:pPr>
          </w:p>
        </w:tc>
        <w:tc>
          <w:tcPr>
            <w:tcW w:w="3387" w:type="dxa"/>
            <w:vAlign w:val="center"/>
          </w:tcPr>
          <w:p w:rsidR="00786673" w:rsidRPr="00493923" w:rsidRDefault="00786673" w:rsidP="00493923">
            <w:pPr>
              <w:jc w:val="both"/>
            </w:pPr>
            <w:r w:rsidRPr="00493923">
              <w:t>…………….</w:t>
            </w:r>
          </w:p>
        </w:tc>
        <w:tc>
          <w:tcPr>
            <w:tcW w:w="3387" w:type="dxa"/>
            <w:vAlign w:val="center"/>
          </w:tcPr>
          <w:p w:rsidR="00786673" w:rsidRPr="00493923" w:rsidRDefault="00786673" w:rsidP="00224778">
            <w:pPr>
              <w:jc w:val="center"/>
            </w:pPr>
          </w:p>
        </w:tc>
      </w:tr>
      <w:tr w:rsidR="00786673" w:rsidRPr="00200ABD" w:rsidTr="00224778">
        <w:trPr>
          <w:trHeight w:hRule="exact" w:val="340"/>
        </w:trPr>
        <w:tc>
          <w:tcPr>
            <w:tcW w:w="2298" w:type="dxa"/>
            <w:vAlign w:val="center"/>
          </w:tcPr>
          <w:p w:rsidR="00786673" w:rsidRPr="00493923" w:rsidRDefault="00786673" w:rsidP="00493923">
            <w:pPr>
              <w:jc w:val="both"/>
            </w:pPr>
            <w:r w:rsidRPr="00493923">
              <w:t>4</w:t>
            </w:r>
          </w:p>
        </w:tc>
        <w:tc>
          <w:tcPr>
            <w:tcW w:w="3387" w:type="dxa"/>
            <w:vAlign w:val="center"/>
          </w:tcPr>
          <w:p w:rsidR="00786673" w:rsidRPr="00493923" w:rsidRDefault="00786673" w:rsidP="00493923">
            <w:pPr>
              <w:jc w:val="both"/>
            </w:pPr>
            <w:r w:rsidRPr="00493923">
              <w:t>Polska</w:t>
            </w:r>
          </w:p>
        </w:tc>
        <w:tc>
          <w:tcPr>
            <w:tcW w:w="3387" w:type="dxa"/>
            <w:vAlign w:val="center"/>
          </w:tcPr>
          <w:p w:rsidR="00786673" w:rsidRPr="00493923" w:rsidRDefault="00786673" w:rsidP="00224778">
            <w:pPr>
              <w:jc w:val="center"/>
            </w:pPr>
            <w:r w:rsidRPr="00493923">
              <w:t>120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9072" w:type="dxa"/>
            <w:gridSpan w:val="3"/>
          </w:tcPr>
          <w:p w:rsidR="00786673" w:rsidRPr="00493923" w:rsidRDefault="00786673" w:rsidP="00224778">
            <w:r w:rsidRPr="00493923">
              <w:t>NAJNIŻSZA DYNAMIKA PRODUKCJI ROLNICZEJ (2004 = 100)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2298" w:type="dxa"/>
            <w:vAlign w:val="center"/>
          </w:tcPr>
          <w:p w:rsidR="00786673" w:rsidRPr="00493923" w:rsidRDefault="00786673" w:rsidP="00493923">
            <w:pPr>
              <w:jc w:val="both"/>
            </w:pPr>
            <w:r w:rsidRPr="00493923">
              <w:t>1</w:t>
            </w:r>
          </w:p>
        </w:tc>
        <w:tc>
          <w:tcPr>
            <w:tcW w:w="3387" w:type="dxa"/>
            <w:vAlign w:val="center"/>
          </w:tcPr>
          <w:p w:rsidR="00786673" w:rsidRPr="00493923" w:rsidRDefault="00786673" w:rsidP="00493923">
            <w:pPr>
              <w:jc w:val="both"/>
            </w:pPr>
            <w:r w:rsidRPr="00493923">
              <w:t>Słowenia</w:t>
            </w:r>
          </w:p>
        </w:tc>
        <w:tc>
          <w:tcPr>
            <w:tcW w:w="3387" w:type="dxa"/>
            <w:vAlign w:val="center"/>
          </w:tcPr>
          <w:p w:rsidR="00786673" w:rsidRPr="00493923" w:rsidRDefault="00786673" w:rsidP="00224778">
            <w:pPr>
              <w:jc w:val="center"/>
            </w:pPr>
            <w:r w:rsidRPr="00493923">
              <w:t>83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2298" w:type="dxa"/>
            <w:vAlign w:val="center"/>
          </w:tcPr>
          <w:p w:rsidR="00786673" w:rsidRPr="00493923" w:rsidRDefault="00786673" w:rsidP="00493923">
            <w:pPr>
              <w:jc w:val="both"/>
            </w:pPr>
            <w:r w:rsidRPr="00493923">
              <w:t>2</w:t>
            </w:r>
          </w:p>
        </w:tc>
        <w:tc>
          <w:tcPr>
            <w:tcW w:w="3387" w:type="dxa"/>
            <w:vAlign w:val="center"/>
          </w:tcPr>
          <w:p w:rsidR="00786673" w:rsidRPr="00493923" w:rsidRDefault="00786673" w:rsidP="00493923">
            <w:pPr>
              <w:jc w:val="both"/>
            </w:pPr>
            <w:r w:rsidRPr="00493923">
              <w:t>Bułgaria</w:t>
            </w:r>
          </w:p>
        </w:tc>
        <w:tc>
          <w:tcPr>
            <w:tcW w:w="3387" w:type="dxa"/>
            <w:vAlign w:val="center"/>
          </w:tcPr>
          <w:p w:rsidR="00786673" w:rsidRPr="00493923" w:rsidRDefault="00786673" w:rsidP="00224778">
            <w:pPr>
              <w:jc w:val="center"/>
            </w:pPr>
            <w:r w:rsidRPr="00493923">
              <w:t>86</w:t>
            </w:r>
          </w:p>
        </w:tc>
      </w:tr>
    </w:tbl>
    <w:p w:rsidR="00786673" w:rsidRDefault="00786673" w:rsidP="00493923">
      <w:pPr>
        <w:pStyle w:val="Cytat"/>
      </w:pPr>
      <w:r>
        <w:t>Źródło: Opracowanie własne na podstawie danych Eurostatu</w:t>
      </w:r>
    </w:p>
    <w:p w:rsidR="00786673" w:rsidRPr="00A7247D" w:rsidRDefault="00786673" w:rsidP="00A7247D">
      <w:pPr>
        <w:jc w:val="both"/>
      </w:pPr>
      <w:r>
        <w:t xml:space="preserve">Największy przyrost produkcji rolniczej nastąpił w republikach bałtyckich (Łotwa, Litwa), natomiast spadek produkcji odnotowano w Słowenii i Bułgarii. </w:t>
      </w:r>
    </w:p>
    <w:p w:rsidR="00786673" w:rsidRDefault="00786673" w:rsidP="00A7247D">
      <w:pPr>
        <w:jc w:val="both"/>
      </w:pPr>
      <w:r w:rsidRPr="00A7247D">
        <w:t>Podobnie, jak w przypadku produkcji rolniczej, w Polsce nastąpił nieznaczny wzro</w:t>
      </w:r>
      <w:r>
        <w:t xml:space="preserve">st wartości dodanej brutto (rysunek 3), przy stosunkowo niewielkim tempie wzrostu </w:t>
      </w:r>
      <w:r w:rsidRPr="00EF6A95">
        <w:t>(ok. 0,4 %/rok).</w:t>
      </w:r>
      <w:r>
        <w:t xml:space="preserve"> Natomiast przeciętnie w UE-27 wartość dodana znacząco spadła, charakteryzując się przy tym silną zmiennością.</w:t>
      </w:r>
    </w:p>
    <w:p w:rsidR="00786673" w:rsidRDefault="008007B2" w:rsidP="00E714B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181157" cy="2593005"/>
            <wp:effectExtent l="12183" t="6100" r="7310" b="1220"/>
            <wp:docPr id="3" name="Wykre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86673" w:rsidRPr="00670DEA" w:rsidRDefault="00786673" w:rsidP="0095512B">
      <w:pPr>
        <w:spacing w:after="0"/>
        <w:jc w:val="both"/>
        <w:rPr>
          <w:rStyle w:val="Pogrubienie"/>
          <w:bCs/>
        </w:rPr>
      </w:pPr>
      <w:r w:rsidRPr="00670DEA">
        <w:rPr>
          <w:rStyle w:val="Pogrubienie"/>
          <w:bCs/>
        </w:rPr>
        <w:t xml:space="preserve">Rysunek </w:t>
      </w:r>
      <w:r w:rsidR="00290E27" w:rsidRPr="00670DEA">
        <w:rPr>
          <w:rStyle w:val="Pogrubienie"/>
          <w:bCs/>
        </w:rPr>
        <w:fldChar w:fldCharType="begin"/>
      </w:r>
      <w:r w:rsidRPr="00670DEA">
        <w:rPr>
          <w:rStyle w:val="Pogrubienie"/>
          <w:bCs/>
        </w:rPr>
        <w:instrText xml:space="preserve"> SEQ Rysunek \* ARABIC </w:instrText>
      </w:r>
      <w:r w:rsidR="00290E27" w:rsidRPr="00670DEA">
        <w:rPr>
          <w:rStyle w:val="Pogrubienie"/>
          <w:bCs/>
        </w:rPr>
        <w:fldChar w:fldCharType="separate"/>
      </w:r>
      <w:r>
        <w:rPr>
          <w:rStyle w:val="Pogrubienie"/>
          <w:bCs/>
          <w:noProof/>
        </w:rPr>
        <w:t>3</w:t>
      </w:r>
      <w:r w:rsidR="00290E27" w:rsidRPr="00670DEA">
        <w:rPr>
          <w:rStyle w:val="Pogrubienie"/>
          <w:bCs/>
        </w:rPr>
        <w:fldChar w:fldCharType="end"/>
      </w:r>
      <w:r w:rsidRPr="00670DEA">
        <w:rPr>
          <w:rStyle w:val="Pogrubienie"/>
          <w:bCs/>
        </w:rPr>
        <w:t xml:space="preserve"> Wartość Dodana Brutto  w cenach producenta [mln EUR]</w:t>
      </w:r>
    </w:p>
    <w:p w:rsidR="00786673" w:rsidRPr="00CF375E" w:rsidRDefault="00786673" w:rsidP="00FB3C6D">
      <w:pPr>
        <w:rPr>
          <w:i/>
        </w:rPr>
      </w:pPr>
      <w:r w:rsidRPr="00CF375E">
        <w:rPr>
          <w:i/>
        </w:rPr>
        <w:t>Źródło: Opracowanie własne na podstawie danych Eurostatu</w:t>
      </w:r>
    </w:p>
    <w:p w:rsidR="00786673" w:rsidRDefault="00786673" w:rsidP="00A7247D">
      <w:pPr>
        <w:jc w:val="both"/>
      </w:pPr>
      <w:r>
        <w:t xml:space="preserve">Dodatni trend zmian w wielkości produkcji rolniczej w Polsce przełożył się na wzrost wydajności pracy, mierzonej wartością dodaną brutto w przeliczeniu na pełnozatrudnionego w rolnictwie (rysunek 4). Na kształtowanie się tego wskaźnika wpłynęło silnie zmniejszenie liczby zatrudnionych w rolnictwie polskim. W rolnictwie UE-27, przeciętnie, wydajność pracy również rosła, jednakże tempo wzrostu było znacznie wolniejsze. </w:t>
      </w:r>
    </w:p>
    <w:p w:rsidR="00786673" w:rsidRDefault="008007B2" w:rsidP="00493923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5179939" cy="2641863"/>
            <wp:effectExtent l="12183" t="6087" r="8528" b="0"/>
            <wp:docPr id="4" name="Wykres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86673" w:rsidRPr="00670DEA" w:rsidRDefault="00786673" w:rsidP="0095512B">
      <w:pPr>
        <w:spacing w:after="0"/>
        <w:jc w:val="both"/>
        <w:rPr>
          <w:rStyle w:val="Pogrubienie"/>
          <w:bCs/>
        </w:rPr>
      </w:pPr>
      <w:r w:rsidRPr="00670DEA">
        <w:rPr>
          <w:rStyle w:val="Pogrubienie"/>
          <w:bCs/>
        </w:rPr>
        <w:t xml:space="preserve">Rysunek </w:t>
      </w:r>
      <w:r w:rsidR="00290E27" w:rsidRPr="00670DEA">
        <w:rPr>
          <w:rStyle w:val="Pogrubienie"/>
          <w:bCs/>
        </w:rPr>
        <w:fldChar w:fldCharType="begin"/>
      </w:r>
      <w:r w:rsidRPr="00670DEA">
        <w:rPr>
          <w:rStyle w:val="Pogrubienie"/>
          <w:bCs/>
        </w:rPr>
        <w:instrText xml:space="preserve"> SEQ Rysunek \* ARABIC </w:instrText>
      </w:r>
      <w:r w:rsidR="00290E27" w:rsidRPr="00670DEA">
        <w:rPr>
          <w:rStyle w:val="Pogrubienie"/>
          <w:bCs/>
        </w:rPr>
        <w:fldChar w:fldCharType="separate"/>
      </w:r>
      <w:r>
        <w:rPr>
          <w:rStyle w:val="Pogrubienie"/>
          <w:bCs/>
          <w:noProof/>
        </w:rPr>
        <w:t>4</w:t>
      </w:r>
      <w:r w:rsidR="00290E27" w:rsidRPr="00670DEA">
        <w:rPr>
          <w:rStyle w:val="Pogrubienie"/>
          <w:bCs/>
        </w:rPr>
        <w:fldChar w:fldCharType="end"/>
      </w:r>
      <w:r w:rsidRPr="00670DEA">
        <w:rPr>
          <w:rStyle w:val="Pogrubienie"/>
          <w:bCs/>
        </w:rPr>
        <w:t xml:space="preserve"> Wartość dodana brutto w przeliczeniu na zasoby pracy (EUR/jednostkę pełnozatrudnioną – AWU, ceny 2005)</w:t>
      </w:r>
    </w:p>
    <w:p w:rsidR="00786673" w:rsidRPr="00F86981" w:rsidRDefault="00786673" w:rsidP="00CA7C50">
      <w:pPr>
        <w:rPr>
          <w:i/>
        </w:rPr>
      </w:pPr>
      <w:r w:rsidRPr="00F86981">
        <w:rPr>
          <w:i/>
        </w:rPr>
        <w:t>Źródło: Opracowanie własne na podstawie danych Eurostatu</w:t>
      </w:r>
    </w:p>
    <w:p w:rsidR="00786673" w:rsidRDefault="00786673" w:rsidP="00A7247D">
      <w:pPr>
        <w:jc w:val="both"/>
      </w:pPr>
      <w:r>
        <w:t xml:space="preserve">Pozytywną ocenę wyraźnego wzrostu wydajności pracy w polskim rolnictwie osłabia fakt, że należy ona do najniższych w Unii Europejskiej, a średnia jej wartość kształtuje się na poziomie kilkunastokrotnie niższym w stosunku do przodujących pod tym względem krajów UE (tabela 6), co stanowi częściowe wyjaśnienie dla silnego tempa wzrostu. Niska przeciętnie wydajność pracy w polskim rolnictwie z oczywistych względów wynika z rozdrobnionej struktury gospodarstw i znacznej liczby zatrudnionych. Mimo iż najmniejsze gospodarstwa rolnicze w Polsce mają w większości charakter gospodarstw samozaopatrzeniowych, socjalnych, a niektóre nawet nie prowadzą produkcji rolniczej, poziom wydajności pracy w towarowym sektorze polskiego rolnictwa jest ciągle relatywnie niski. Gospodarstwa w próbie FADN charakteryzowały się wydajnością pracy dwukrotnie wyższą (około 7500€/zatrudnionego) niż średnio w sektorze rolnictwa (3663€), co pod względem wartości tego wskaźnika ciągle lokuje Polskę na odległym miejscu na liście krajów Unii Europejskiej. </w:t>
      </w:r>
    </w:p>
    <w:p w:rsidR="00786673" w:rsidRPr="00670DEA" w:rsidRDefault="00786673" w:rsidP="00670DEA">
      <w:pPr>
        <w:jc w:val="both"/>
        <w:rPr>
          <w:rStyle w:val="Pogrubienie"/>
          <w:bCs/>
        </w:rPr>
      </w:pPr>
      <w:bookmarkStart w:id="6" w:name="OLE_LINK53"/>
      <w:bookmarkStart w:id="7" w:name="OLE_LINK54"/>
      <w:bookmarkStart w:id="8" w:name="OLE_LINK55"/>
      <w:r w:rsidRPr="00670DEA">
        <w:rPr>
          <w:rStyle w:val="Pogrubienie"/>
          <w:bCs/>
        </w:rPr>
        <w:t xml:space="preserve">Tabela </w:t>
      </w:r>
      <w:r w:rsidR="00290E27" w:rsidRPr="00670DEA">
        <w:rPr>
          <w:rStyle w:val="Pogrubienie"/>
          <w:bCs/>
        </w:rPr>
        <w:fldChar w:fldCharType="begin"/>
      </w:r>
      <w:r w:rsidRPr="00670DEA">
        <w:rPr>
          <w:rStyle w:val="Pogrubienie"/>
          <w:bCs/>
        </w:rPr>
        <w:instrText xml:space="preserve"> SEQ Tabela \* ARABIC </w:instrText>
      </w:r>
      <w:r w:rsidR="00290E27" w:rsidRPr="00670DEA">
        <w:rPr>
          <w:rStyle w:val="Pogrubienie"/>
          <w:bCs/>
        </w:rPr>
        <w:fldChar w:fldCharType="separate"/>
      </w:r>
      <w:r>
        <w:rPr>
          <w:rStyle w:val="Pogrubienie"/>
          <w:bCs/>
          <w:noProof/>
        </w:rPr>
        <w:t>6</w:t>
      </w:r>
      <w:r w:rsidR="00290E27" w:rsidRPr="00670DEA">
        <w:rPr>
          <w:rStyle w:val="Pogrubienie"/>
          <w:bCs/>
        </w:rPr>
        <w:fldChar w:fldCharType="end"/>
      </w:r>
      <w:bookmarkEnd w:id="6"/>
      <w:bookmarkEnd w:id="7"/>
      <w:bookmarkEnd w:id="8"/>
      <w:r>
        <w:rPr>
          <w:rStyle w:val="Pogrubienie"/>
          <w:bCs/>
        </w:rPr>
        <w:t xml:space="preserve"> </w:t>
      </w:r>
      <w:r w:rsidRPr="00670DEA">
        <w:rPr>
          <w:rStyle w:val="Pogrubienie"/>
          <w:bCs/>
        </w:rPr>
        <w:t xml:space="preserve">Poziom wydajności pracy w rolnictwie wybranych krajów europejskich  (wartość dodana brutto w Euro w przeliczeniu na jednostkę pełnozatrudnioną, ceny 2005)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98"/>
        <w:gridCol w:w="2959"/>
        <w:gridCol w:w="3815"/>
      </w:tblGrid>
      <w:tr w:rsidR="00786673" w:rsidRPr="00200ABD" w:rsidTr="00493923">
        <w:trPr>
          <w:trHeight w:hRule="exact" w:val="340"/>
        </w:trPr>
        <w:tc>
          <w:tcPr>
            <w:tcW w:w="9072" w:type="dxa"/>
            <w:gridSpan w:val="3"/>
            <w:vAlign w:val="center"/>
          </w:tcPr>
          <w:p w:rsidR="00786673" w:rsidRPr="00200ABD" w:rsidRDefault="00786673" w:rsidP="00200ABD">
            <w:pPr>
              <w:spacing w:after="0"/>
              <w:rPr>
                <w:bCs/>
              </w:rPr>
            </w:pPr>
            <w:r w:rsidRPr="00200ABD">
              <w:rPr>
                <w:bCs/>
              </w:rPr>
              <w:t>NAJWIĘKSZA WYDAJNOŚĆ PRACY [EUR/AWU] w 2013 roku</w:t>
            </w:r>
          </w:p>
        </w:tc>
      </w:tr>
      <w:tr w:rsidR="00786673" w:rsidRPr="00200ABD" w:rsidTr="00493923">
        <w:trPr>
          <w:trHeight w:hRule="exact" w:val="340"/>
        </w:trPr>
        <w:tc>
          <w:tcPr>
            <w:tcW w:w="2298" w:type="dxa"/>
            <w:vAlign w:val="center"/>
          </w:tcPr>
          <w:p w:rsidR="00786673" w:rsidRPr="00200ABD" w:rsidRDefault="00786673" w:rsidP="00200ABD">
            <w:pPr>
              <w:spacing w:after="0"/>
              <w:rPr>
                <w:bCs/>
              </w:rPr>
            </w:pPr>
            <w:r w:rsidRPr="00200ABD">
              <w:rPr>
                <w:bCs/>
              </w:rPr>
              <w:t>1</w:t>
            </w:r>
          </w:p>
        </w:tc>
        <w:tc>
          <w:tcPr>
            <w:tcW w:w="2959" w:type="dxa"/>
            <w:vAlign w:val="center"/>
          </w:tcPr>
          <w:p w:rsidR="00786673" w:rsidRPr="00200ABD" w:rsidRDefault="00786673" w:rsidP="00200ABD">
            <w:pPr>
              <w:spacing w:after="0"/>
              <w:jc w:val="center"/>
              <w:rPr>
                <w:bCs/>
              </w:rPr>
            </w:pPr>
            <w:r w:rsidRPr="00200ABD">
              <w:rPr>
                <w:bCs/>
              </w:rPr>
              <w:t>Holandia</w:t>
            </w:r>
          </w:p>
        </w:tc>
        <w:tc>
          <w:tcPr>
            <w:tcW w:w="3815" w:type="dxa"/>
            <w:vAlign w:val="center"/>
          </w:tcPr>
          <w:p w:rsidR="00786673" w:rsidRPr="00200ABD" w:rsidRDefault="00786673" w:rsidP="00200ABD">
            <w:pPr>
              <w:spacing w:after="0"/>
              <w:jc w:val="center"/>
              <w:rPr>
                <w:bCs/>
              </w:rPr>
            </w:pPr>
            <w:r w:rsidRPr="00200ABD">
              <w:rPr>
                <w:bCs/>
              </w:rPr>
              <w:t>55038</w:t>
            </w:r>
          </w:p>
        </w:tc>
      </w:tr>
      <w:tr w:rsidR="00786673" w:rsidRPr="00200ABD" w:rsidTr="00493923">
        <w:trPr>
          <w:trHeight w:hRule="exact" w:val="340"/>
        </w:trPr>
        <w:tc>
          <w:tcPr>
            <w:tcW w:w="2298" w:type="dxa"/>
            <w:vAlign w:val="center"/>
          </w:tcPr>
          <w:p w:rsidR="00786673" w:rsidRPr="00200ABD" w:rsidRDefault="00786673" w:rsidP="00200ABD">
            <w:pPr>
              <w:spacing w:after="0"/>
              <w:rPr>
                <w:bCs/>
              </w:rPr>
            </w:pPr>
            <w:r w:rsidRPr="00200ABD">
              <w:rPr>
                <w:bCs/>
              </w:rPr>
              <w:t>2</w:t>
            </w:r>
          </w:p>
        </w:tc>
        <w:tc>
          <w:tcPr>
            <w:tcW w:w="2959" w:type="dxa"/>
            <w:vAlign w:val="center"/>
          </w:tcPr>
          <w:p w:rsidR="00786673" w:rsidRPr="00200ABD" w:rsidRDefault="00786673" w:rsidP="00200ABD">
            <w:pPr>
              <w:spacing w:after="0"/>
              <w:jc w:val="center"/>
              <w:rPr>
                <w:bCs/>
              </w:rPr>
            </w:pPr>
            <w:r w:rsidRPr="00200ABD">
              <w:rPr>
                <w:bCs/>
              </w:rPr>
              <w:t>Finlandia</w:t>
            </w:r>
          </w:p>
        </w:tc>
        <w:tc>
          <w:tcPr>
            <w:tcW w:w="3815" w:type="dxa"/>
            <w:vAlign w:val="center"/>
          </w:tcPr>
          <w:p w:rsidR="00786673" w:rsidRPr="00200ABD" w:rsidRDefault="00786673" w:rsidP="00200ABD">
            <w:pPr>
              <w:spacing w:after="0"/>
              <w:jc w:val="center"/>
              <w:rPr>
                <w:bCs/>
              </w:rPr>
            </w:pPr>
            <w:r w:rsidRPr="00200ABD">
              <w:rPr>
                <w:bCs/>
              </w:rPr>
              <w:t>50365</w:t>
            </w:r>
          </w:p>
        </w:tc>
      </w:tr>
      <w:tr w:rsidR="00786673" w:rsidRPr="00200ABD" w:rsidTr="00493923">
        <w:trPr>
          <w:trHeight w:hRule="exact" w:val="340"/>
        </w:trPr>
        <w:tc>
          <w:tcPr>
            <w:tcW w:w="9072" w:type="dxa"/>
            <w:gridSpan w:val="3"/>
            <w:vAlign w:val="center"/>
          </w:tcPr>
          <w:p w:rsidR="00786673" w:rsidRPr="00200ABD" w:rsidRDefault="00786673" w:rsidP="00200ABD">
            <w:pPr>
              <w:spacing w:after="0"/>
              <w:rPr>
                <w:bCs/>
              </w:rPr>
            </w:pPr>
            <w:r w:rsidRPr="00200ABD">
              <w:rPr>
                <w:bCs/>
              </w:rPr>
              <w:t>NAJWIĘKSZA WYDAJNOŚĆ PRACY [EUR/AWU] w 2013 roku</w:t>
            </w:r>
          </w:p>
        </w:tc>
      </w:tr>
      <w:tr w:rsidR="00786673" w:rsidRPr="00200ABD" w:rsidTr="00493923">
        <w:trPr>
          <w:trHeight w:hRule="exact" w:val="340"/>
        </w:trPr>
        <w:tc>
          <w:tcPr>
            <w:tcW w:w="2298" w:type="dxa"/>
            <w:vAlign w:val="center"/>
          </w:tcPr>
          <w:p w:rsidR="00786673" w:rsidRPr="00200ABD" w:rsidRDefault="00786673" w:rsidP="00200ABD">
            <w:pPr>
              <w:spacing w:after="0"/>
              <w:rPr>
                <w:bCs/>
              </w:rPr>
            </w:pPr>
            <w:r w:rsidRPr="00200ABD">
              <w:rPr>
                <w:bCs/>
              </w:rPr>
              <w:t>1</w:t>
            </w:r>
          </w:p>
        </w:tc>
        <w:tc>
          <w:tcPr>
            <w:tcW w:w="2959" w:type="dxa"/>
            <w:vAlign w:val="center"/>
          </w:tcPr>
          <w:p w:rsidR="00786673" w:rsidRPr="00200ABD" w:rsidRDefault="00786673" w:rsidP="00200ABD">
            <w:pPr>
              <w:spacing w:after="0"/>
              <w:jc w:val="center"/>
              <w:rPr>
                <w:bCs/>
              </w:rPr>
            </w:pPr>
            <w:r w:rsidRPr="00200ABD">
              <w:rPr>
                <w:bCs/>
              </w:rPr>
              <w:t>Łotwa</w:t>
            </w:r>
          </w:p>
        </w:tc>
        <w:tc>
          <w:tcPr>
            <w:tcW w:w="3815" w:type="dxa"/>
            <w:vAlign w:val="center"/>
          </w:tcPr>
          <w:p w:rsidR="00786673" w:rsidRPr="00200ABD" w:rsidRDefault="00786673" w:rsidP="00200ABD">
            <w:pPr>
              <w:spacing w:after="0"/>
              <w:jc w:val="center"/>
              <w:rPr>
                <w:bCs/>
              </w:rPr>
            </w:pPr>
            <w:r w:rsidRPr="00200ABD">
              <w:rPr>
                <w:bCs/>
              </w:rPr>
              <w:t>2857</w:t>
            </w:r>
          </w:p>
        </w:tc>
      </w:tr>
      <w:tr w:rsidR="00786673" w:rsidRPr="00200ABD" w:rsidTr="00493923">
        <w:trPr>
          <w:trHeight w:hRule="exact" w:val="340"/>
        </w:trPr>
        <w:tc>
          <w:tcPr>
            <w:tcW w:w="2298" w:type="dxa"/>
            <w:vAlign w:val="center"/>
          </w:tcPr>
          <w:p w:rsidR="00786673" w:rsidRPr="00200ABD" w:rsidRDefault="00786673" w:rsidP="00200ABD">
            <w:pPr>
              <w:spacing w:after="0"/>
              <w:rPr>
                <w:bCs/>
              </w:rPr>
            </w:pPr>
            <w:r w:rsidRPr="00200ABD">
              <w:rPr>
                <w:bCs/>
              </w:rPr>
              <w:t>2</w:t>
            </w:r>
          </w:p>
        </w:tc>
        <w:tc>
          <w:tcPr>
            <w:tcW w:w="2959" w:type="dxa"/>
            <w:vAlign w:val="center"/>
          </w:tcPr>
          <w:p w:rsidR="00786673" w:rsidRPr="00200ABD" w:rsidRDefault="00786673" w:rsidP="00200ABD">
            <w:pPr>
              <w:spacing w:after="0"/>
              <w:jc w:val="center"/>
              <w:rPr>
                <w:bCs/>
              </w:rPr>
            </w:pPr>
            <w:r w:rsidRPr="00200ABD">
              <w:rPr>
                <w:bCs/>
              </w:rPr>
              <w:t>Polska</w:t>
            </w:r>
          </w:p>
        </w:tc>
        <w:tc>
          <w:tcPr>
            <w:tcW w:w="3815" w:type="dxa"/>
            <w:vAlign w:val="center"/>
          </w:tcPr>
          <w:p w:rsidR="00786673" w:rsidRPr="00200ABD" w:rsidRDefault="00786673" w:rsidP="00200ABD">
            <w:pPr>
              <w:spacing w:after="0"/>
              <w:jc w:val="center"/>
              <w:rPr>
                <w:bCs/>
              </w:rPr>
            </w:pPr>
            <w:r w:rsidRPr="00200ABD">
              <w:rPr>
                <w:bCs/>
              </w:rPr>
              <w:t>3663</w:t>
            </w:r>
          </w:p>
        </w:tc>
      </w:tr>
      <w:tr w:rsidR="00786673" w:rsidRPr="00200ABD" w:rsidTr="00493923">
        <w:trPr>
          <w:trHeight w:hRule="exact" w:val="340"/>
        </w:trPr>
        <w:tc>
          <w:tcPr>
            <w:tcW w:w="5257" w:type="dxa"/>
            <w:gridSpan w:val="2"/>
            <w:vAlign w:val="center"/>
          </w:tcPr>
          <w:p w:rsidR="00786673" w:rsidRPr="00200ABD" w:rsidRDefault="00786673" w:rsidP="00200ABD">
            <w:pPr>
              <w:spacing w:after="0" w:line="240" w:lineRule="auto"/>
              <w:jc w:val="center"/>
              <w:rPr>
                <w:bCs/>
              </w:rPr>
            </w:pPr>
            <w:r w:rsidRPr="00200ABD">
              <w:rPr>
                <w:bCs/>
              </w:rPr>
              <w:t>Polska FADN (2012)</w:t>
            </w:r>
          </w:p>
        </w:tc>
        <w:tc>
          <w:tcPr>
            <w:tcW w:w="3815" w:type="dxa"/>
            <w:vAlign w:val="center"/>
          </w:tcPr>
          <w:p w:rsidR="00786673" w:rsidRPr="00200ABD" w:rsidRDefault="00786673" w:rsidP="00200ABD">
            <w:pPr>
              <w:spacing w:after="0" w:line="240" w:lineRule="auto"/>
              <w:jc w:val="center"/>
              <w:rPr>
                <w:bCs/>
              </w:rPr>
            </w:pPr>
            <w:r w:rsidRPr="00200ABD">
              <w:rPr>
                <w:bCs/>
              </w:rPr>
              <w:t>~7500</w:t>
            </w:r>
          </w:p>
        </w:tc>
      </w:tr>
    </w:tbl>
    <w:p w:rsidR="00786673" w:rsidRPr="00F86981" w:rsidRDefault="00786673" w:rsidP="003A6E60">
      <w:pPr>
        <w:rPr>
          <w:i/>
        </w:rPr>
      </w:pPr>
      <w:r w:rsidRPr="00F86981">
        <w:rPr>
          <w:i/>
        </w:rPr>
        <w:t>Źródło: Opracowanie własne na podstawie danych Eurostatu i FADN</w:t>
      </w:r>
    </w:p>
    <w:p w:rsidR="00786673" w:rsidRDefault="00786673" w:rsidP="00A7247D">
      <w:pPr>
        <w:jc w:val="both"/>
      </w:pPr>
      <w:r>
        <w:t>Dynamika zmian w wynikach produkcyjnych i ekonomicznych polskiego sektora rolnictwa w latach 2004-2013 na tle rolnictwa krajów Unii Europejskiej wskazuje na to, że potencjał produkcyjny gospodarstw rolniczych w Polsce był w istniejących w tym okresie warunkach dobrze wykorzystany. Znamienne, że w wynikach polskiego rolnictwa nie wystąpiło załamanie analizowanych wskaźników w okresie kryzysu finansowego, co świadczy o relatywnie dobrej kondycji sektora, tak jak i gospodarki kraju.</w:t>
      </w:r>
    </w:p>
    <w:p w:rsidR="00786673" w:rsidRPr="00E714BF" w:rsidRDefault="00786673" w:rsidP="00E714BF">
      <w:pPr>
        <w:pStyle w:val="Nagwek1"/>
        <w:numPr>
          <w:ilvl w:val="0"/>
          <w:numId w:val="8"/>
        </w:numPr>
        <w:spacing w:before="120" w:after="120"/>
        <w:ind w:left="357" w:hanging="357"/>
        <w:rPr>
          <w:sz w:val="24"/>
          <w:szCs w:val="24"/>
        </w:rPr>
      </w:pPr>
      <w:r w:rsidRPr="00E714BF">
        <w:rPr>
          <w:sz w:val="24"/>
          <w:szCs w:val="24"/>
        </w:rPr>
        <w:t>DOCHODY GOSPODARSTW ROLNICZYCH W POLSCE WEDŁUG DANYCH FADN</w:t>
      </w:r>
    </w:p>
    <w:p w:rsidR="00786673" w:rsidRPr="004F414A" w:rsidRDefault="00786673" w:rsidP="004F414A">
      <w:pPr>
        <w:jc w:val="both"/>
        <w:rPr>
          <w:b/>
          <w:bCs/>
        </w:rPr>
      </w:pPr>
      <w:r>
        <w:t xml:space="preserve">Do analizy dochodów rolniczych wykorzystano dane rachunkowości rolnej FADN za 2012 rok. Próba FADN z tego roku stanowiła </w:t>
      </w:r>
      <w:r w:rsidRPr="00FB3C6D">
        <w:t>zbiór 10909 obiektów badawczych</w:t>
      </w:r>
      <w:r>
        <w:t xml:space="preserve"> z minimalną standardową produkcją (SO)</w:t>
      </w:r>
      <w:r>
        <w:rPr>
          <w:rStyle w:val="Odwoanieprzypisudolnego"/>
        </w:rPr>
        <w:footnoteReference w:id="1"/>
      </w:r>
      <w:r>
        <w:t xml:space="preserve"> na poziomie 2000 Euro. Wynika z tego, że próba FADN nie obejmuje gospodarstw najmniejszych obszarowo, które nie prowadzą działalności z wysokim poziomem intensywności generujących znaczną wartość produkcji (np. uprawy szklarniowe, chów drobiu itp.). Pominięcie tych gospodarstw w analizie dochodów w sektorze rolnictwa można uznać za w pełni uzasadnione biorąc pod uwagę to, że praktycznie nie są one związane z rynkiem, a dochody z produkcji rolniczej mają w tych gospodarstwach marginalne znaczenie. Ponieważ w danych do analizy nie ujęto również gospodarstw wielkoobszarowych o statusie spółek, można przyjąć, że analizowane gospodarstwa FADN reprezentują sektor gospodarstw rodzinnych. Szacuje się, gospodarstwa reprezentowane przez FADN reprezentują 50% z ogólnej liczby 1456 tys. </w:t>
      </w:r>
      <w:r w:rsidRPr="00C31BAF">
        <w:t xml:space="preserve">gospodarstw rolnych o powierzchni </w:t>
      </w:r>
      <w:r>
        <w:t xml:space="preserve">powyżej </w:t>
      </w:r>
      <w:r w:rsidRPr="00C31BAF">
        <w:t>1 ha UR</w:t>
      </w:r>
      <w:r>
        <w:t xml:space="preserve">, jakie wykazane są w statystykach GUS. Gospodarstwa te, w liczbie 735,5 tys. stanowią populację FADN, w której wytwarzane jest około 90% całkowitej wartości produkcji sektora, </w:t>
      </w:r>
      <w:r w:rsidRPr="00A54289">
        <w:t>a ich udział w całkowitej powierzchni UR w Polsce wynosi 83%.</w:t>
      </w:r>
      <w:r>
        <w:t xml:space="preserve"> Dla celów analizy kształtowania się dochodów rolniczych w populacji gospodarstw FADN wydzielono 3 grupy gospodarstw o różnej wielkości ekonomicznej, określonej za pomocą standardowej produkcji (tabela 7).</w:t>
      </w:r>
    </w:p>
    <w:p w:rsidR="00786673" w:rsidRPr="00670DEA" w:rsidRDefault="00786673" w:rsidP="00670DEA">
      <w:pPr>
        <w:jc w:val="both"/>
        <w:rPr>
          <w:rStyle w:val="Pogrubienie"/>
          <w:bCs/>
        </w:rPr>
      </w:pPr>
      <w:r w:rsidRPr="00670DEA">
        <w:rPr>
          <w:rStyle w:val="Pogrubienie"/>
          <w:bCs/>
        </w:rPr>
        <w:t xml:space="preserve">Tabela </w:t>
      </w:r>
      <w:r w:rsidR="00290E27" w:rsidRPr="00670DEA">
        <w:rPr>
          <w:rStyle w:val="Pogrubienie"/>
          <w:bCs/>
        </w:rPr>
        <w:fldChar w:fldCharType="begin"/>
      </w:r>
      <w:r w:rsidRPr="00670DEA">
        <w:rPr>
          <w:rStyle w:val="Pogrubienie"/>
          <w:bCs/>
        </w:rPr>
        <w:instrText xml:space="preserve"> SEQ Tabela \* ARABIC </w:instrText>
      </w:r>
      <w:r w:rsidR="00290E27" w:rsidRPr="00670DEA">
        <w:rPr>
          <w:rStyle w:val="Pogrubienie"/>
          <w:bCs/>
        </w:rPr>
        <w:fldChar w:fldCharType="separate"/>
      </w:r>
      <w:r>
        <w:rPr>
          <w:rStyle w:val="Pogrubienie"/>
          <w:bCs/>
          <w:noProof/>
        </w:rPr>
        <w:t>7</w:t>
      </w:r>
      <w:r w:rsidR="00290E27" w:rsidRPr="00670DEA">
        <w:rPr>
          <w:rStyle w:val="Pogrubienie"/>
          <w:bCs/>
        </w:rPr>
        <w:fldChar w:fldCharType="end"/>
      </w:r>
      <w:r w:rsidRPr="00670DEA">
        <w:rPr>
          <w:rStyle w:val="Pogrubienie"/>
          <w:bCs/>
        </w:rPr>
        <w:t xml:space="preserve"> Podział gospodarstw ze względu na wielkości ekonomiczną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3828"/>
        <w:gridCol w:w="1664"/>
        <w:gridCol w:w="1665"/>
        <w:gridCol w:w="1774"/>
      </w:tblGrid>
      <w:tr w:rsidR="00786673" w:rsidRPr="00200ABD" w:rsidTr="00F86981">
        <w:trPr>
          <w:trHeight w:hRule="exact" w:val="340"/>
        </w:trPr>
        <w:tc>
          <w:tcPr>
            <w:tcW w:w="3828" w:type="dxa"/>
          </w:tcPr>
          <w:p w:rsidR="00786673" w:rsidRPr="00200ABD" w:rsidRDefault="00786673" w:rsidP="00200ABD">
            <w:pPr>
              <w:spacing w:after="0"/>
            </w:pPr>
          </w:p>
        </w:tc>
        <w:tc>
          <w:tcPr>
            <w:tcW w:w="1664" w:type="dxa"/>
          </w:tcPr>
          <w:p w:rsidR="00786673" w:rsidRPr="00200ABD" w:rsidRDefault="00786673" w:rsidP="00200ABD">
            <w:pPr>
              <w:spacing w:after="0"/>
            </w:pPr>
            <w:r w:rsidRPr="00200ABD">
              <w:rPr>
                <w:b/>
                <w:bCs/>
              </w:rPr>
              <w:t>MAŁE</w:t>
            </w:r>
          </w:p>
        </w:tc>
        <w:tc>
          <w:tcPr>
            <w:tcW w:w="1665" w:type="dxa"/>
          </w:tcPr>
          <w:p w:rsidR="00786673" w:rsidRPr="00200ABD" w:rsidRDefault="00786673" w:rsidP="00200ABD">
            <w:pPr>
              <w:spacing w:after="0"/>
            </w:pPr>
            <w:r w:rsidRPr="00200ABD">
              <w:rPr>
                <w:b/>
                <w:bCs/>
              </w:rPr>
              <w:t>ŚREDNIE</w:t>
            </w:r>
          </w:p>
        </w:tc>
        <w:tc>
          <w:tcPr>
            <w:tcW w:w="1774" w:type="dxa"/>
          </w:tcPr>
          <w:p w:rsidR="00786673" w:rsidRPr="00200ABD" w:rsidRDefault="00786673" w:rsidP="00200ABD">
            <w:pPr>
              <w:spacing w:after="0"/>
            </w:pPr>
            <w:r w:rsidRPr="00200ABD">
              <w:rPr>
                <w:b/>
                <w:bCs/>
              </w:rPr>
              <w:t>DUŻE</w:t>
            </w:r>
          </w:p>
        </w:tc>
      </w:tr>
      <w:tr w:rsidR="00786673" w:rsidRPr="00200ABD" w:rsidTr="00E714BF">
        <w:trPr>
          <w:trHeight w:hRule="exact" w:val="340"/>
        </w:trPr>
        <w:tc>
          <w:tcPr>
            <w:tcW w:w="3828" w:type="dxa"/>
          </w:tcPr>
          <w:p w:rsidR="00786673" w:rsidRPr="00200ABD" w:rsidRDefault="00786673" w:rsidP="00A7247D">
            <w:pPr>
              <w:spacing w:after="0"/>
            </w:pPr>
            <w:r>
              <w:t>Wielkość ekonomiczna (SO</w:t>
            </w:r>
            <w:r w:rsidRPr="00200ABD">
              <w:t xml:space="preserve">) – </w:t>
            </w:r>
            <w:r>
              <w:t>tys. EUR</w:t>
            </w:r>
            <w:r w:rsidRPr="00200ABD">
              <w:t xml:space="preserve"> </w:t>
            </w:r>
          </w:p>
        </w:tc>
        <w:tc>
          <w:tcPr>
            <w:tcW w:w="1664" w:type="dxa"/>
            <w:vAlign w:val="center"/>
          </w:tcPr>
          <w:p w:rsidR="00786673" w:rsidRPr="00200ABD" w:rsidRDefault="00786673" w:rsidP="00E714BF">
            <w:pPr>
              <w:spacing w:after="0"/>
              <w:jc w:val="center"/>
            </w:pPr>
            <w:r w:rsidRPr="00200ABD">
              <w:t>2</w:t>
            </w:r>
            <w:r>
              <w:t>– 25</w:t>
            </w:r>
          </w:p>
        </w:tc>
        <w:tc>
          <w:tcPr>
            <w:tcW w:w="1665" w:type="dxa"/>
            <w:vAlign w:val="center"/>
          </w:tcPr>
          <w:p w:rsidR="00786673" w:rsidRPr="00200ABD" w:rsidRDefault="00786673" w:rsidP="00E714BF">
            <w:pPr>
              <w:spacing w:after="0"/>
              <w:jc w:val="center"/>
            </w:pPr>
            <w:r w:rsidRPr="00200ABD">
              <w:t>25– 100</w:t>
            </w:r>
          </w:p>
        </w:tc>
        <w:tc>
          <w:tcPr>
            <w:tcW w:w="1774" w:type="dxa"/>
            <w:vAlign w:val="center"/>
          </w:tcPr>
          <w:p w:rsidR="00786673" w:rsidRPr="00200ABD" w:rsidRDefault="00786673" w:rsidP="00E714BF">
            <w:pPr>
              <w:spacing w:after="0"/>
              <w:jc w:val="center"/>
            </w:pPr>
            <w:r w:rsidRPr="00200ABD">
              <w:t>Powyżej 100</w:t>
            </w:r>
          </w:p>
        </w:tc>
      </w:tr>
      <w:tr w:rsidR="00786673" w:rsidRPr="00200ABD" w:rsidTr="00E714BF">
        <w:trPr>
          <w:trHeight w:hRule="exact" w:val="340"/>
        </w:trPr>
        <w:tc>
          <w:tcPr>
            <w:tcW w:w="3828" w:type="dxa"/>
          </w:tcPr>
          <w:p w:rsidR="00786673" w:rsidRPr="00200ABD" w:rsidRDefault="00786673" w:rsidP="00A7247D">
            <w:pPr>
              <w:spacing w:after="0" w:line="240" w:lineRule="auto"/>
            </w:pPr>
            <w:r w:rsidRPr="00200ABD">
              <w:t xml:space="preserve">Udział w populacji </w:t>
            </w:r>
            <w:r>
              <w:t>FADN</w:t>
            </w:r>
          </w:p>
        </w:tc>
        <w:tc>
          <w:tcPr>
            <w:tcW w:w="1664" w:type="dxa"/>
            <w:vAlign w:val="center"/>
          </w:tcPr>
          <w:p w:rsidR="00786673" w:rsidRPr="00200ABD" w:rsidRDefault="00786673" w:rsidP="00E714BF">
            <w:pPr>
              <w:spacing w:after="0" w:line="240" w:lineRule="auto"/>
              <w:jc w:val="center"/>
            </w:pPr>
            <w:r w:rsidRPr="00200ABD">
              <w:t>80%</w:t>
            </w:r>
          </w:p>
        </w:tc>
        <w:tc>
          <w:tcPr>
            <w:tcW w:w="1665" w:type="dxa"/>
            <w:vAlign w:val="center"/>
          </w:tcPr>
          <w:p w:rsidR="00786673" w:rsidRPr="00200ABD" w:rsidRDefault="00786673" w:rsidP="00E714BF">
            <w:pPr>
              <w:spacing w:after="0" w:line="240" w:lineRule="auto"/>
              <w:jc w:val="center"/>
            </w:pPr>
            <w:r w:rsidRPr="00200ABD">
              <w:t>18%</w:t>
            </w:r>
          </w:p>
        </w:tc>
        <w:tc>
          <w:tcPr>
            <w:tcW w:w="1774" w:type="dxa"/>
            <w:vAlign w:val="center"/>
          </w:tcPr>
          <w:p w:rsidR="00786673" w:rsidRPr="00200ABD" w:rsidRDefault="00786673" w:rsidP="00E714BF">
            <w:pPr>
              <w:spacing w:after="0" w:line="240" w:lineRule="auto"/>
              <w:jc w:val="center"/>
            </w:pPr>
            <w:r w:rsidRPr="00200ABD">
              <w:t>2%</w:t>
            </w:r>
          </w:p>
        </w:tc>
      </w:tr>
      <w:tr w:rsidR="00786673" w:rsidRPr="00200ABD" w:rsidTr="00E714BF">
        <w:trPr>
          <w:trHeight w:hRule="exact" w:val="340"/>
        </w:trPr>
        <w:tc>
          <w:tcPr>
            <w:tcW w:w="3828" w:type="dxa"/>
          </w:tcPr>
          <w:p w:rsidR="00786673" w:rsidRPr="00200ABD" w:rsidRDefault="00786673" w:rsidP="00200ABD">
            <w:pPr>
              <w:spacing w:after="0" w:line="240" w:lineRule="auto"/>
            </w:pPr>
            <w:r w:rsidRPr="00200ABD">
              <w:t>Udzi</w:t>
            </w:r>
            <w:r>
              <w:t>ał w powierzchni UR</w:t>
            </w:r>
          </w:p>
        </w:tc>
        <w:tc>
          <w:tcPr>
            <w:tcW w:w="1664" w:type="dxa"/>
            <w:vAlign w:val="center"/>
          </w:tcPr>
          <w:p w:rsidR="00786673" w:rsidRPr="00200ABD" w:rsidRDefault="00786673" w:rsidP="00E714BF">
            <w:pPr>
              <w:spacing w:after="0" w:line="240" w:lineRule="auto"/>
              <w:jc w:val="center"/>
            </w:pPr>
            <w:r w:rsidRPr="00200ABD">
              <w:t>56%</w:t>
            </w:r>
          </w:p>
        </w:tc>
        <w:tc>
          <w:tcPr>
            <w:tcW w:w="1665" w:type="dxa"/>
            <w:vAlign w:val="center"/>
          </w:tcPr>
          <w:p w:rsidR="00786673" w:rsidRPr="00200ABD" w:rsidRDefault="00786673" w:rsidP="00E714BF">
            <w:pPr>
              <w:spacing w:after="0" w:line="240" w:lineRule="auto"/>
              <w:jc w:val="center"/>
            </w:pPr>
            <w:r w:rsidRPr="00200ABD">
              <w:t>34%</w:t>
            </w:r>
          </w:p>
        </w:tc>
        <w:tc>
          <w:tcPr>
            <w:tcW w:w="1774" w:type="dxa"/>
            <w:vAlign w:val="center"/>
          </w:tcPr>
          <w:p w:rsidR="00786673" w:rsidRPr="00200ABD" w:rsidRDefault="00786673" w:rsidP="00E714BF">
            <w:pPr>
              <w:spacing w:after="0" w:line="240" w:lineRule="auto"/>
              <w:jc w:val="center"/>
            </w:pPr>
            <w:r w:rsidRPr="00200ABD">
              <w:t>10%</w:t>
            </w:r>
          </w:p>
        </w:tc>
      </w:tr>
      <w:tr w:rsidR="00786673" w:rsidRPr="00200ABD" w:rsidTr="00E714BF">
        <w:trPr>
          <w:trHeight w:hRule="exact" w:val="570"/>
        </w:trPr>
        <w:tc>
          <w:tcPr>
            <w:tcW w:w="3828" w:type="dxa"/>
          </w:tcPr>
          <w:p w:rsidR="00786673" w:rsidRPr="00200ABD" w:rsidRDefault="00786673" w:rsidP="006C2684">
            <w:pPr>
              <w:spacing w:after="0" w:line="240" w:lineRule="auto"/>
            </w:pPr>
            <w:r>
              <w:t>Przybliżona powierzchnia UR [ha] (średnio/gospodarstwo)</w:t>
            </w:r>
          </w:p>
        </w:tc>
        <w:tc>
          <w:tcPr>
            <w:tcW w:w="1664" w:type="dxa"/>
            <w:vAlign w:val="center"/>
          </w:tcPr>
          <w:p w:rsidR="00786673" w:rsidRPr="00200ABD" w:rsidRDefault="00786673" w:rsidP="00E714BF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1665" w:type="dxa"/>
            <w:vAlign w:val="center"/>
          </w:tcPr>
          <w:p w:rsidR="00786673" w:rsidRPr="00200ABD" w:rsidRDefault="00786673" w:rsidP="00E714BF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1774" w:type="dxa"/>
            <w:vAlign w:val="center"/>
          </w:tcPr>
          <w:p w:rsidR="00786673" w:rsidRPr="00200ABD" w:rsidRDefault="00786673" w:rsidP="00E714BF">
            <w:pPr>
              <w:spacing w:after="0" w:line="240" w:lineRule="auto"/>
              <w:jc w:val="center"/>
            </w:pPr>
            <w:r>
              <w:t>80</w:t>
            </w:r>
          </w:p>
        </w:tc>
      </w:tr>
    </w:tbl>
    <w:p w:rsidR="00786673" w:rsidRPr="00F86981" w:rsidRDefault="00786673" w:rsidP="00CC34E4">
      <w:pPr>
        <w:rPr>
          <w:i/>
        </w:rPr>
      </w:pPr>
      <w:r w:rsidRPr="00F86981">
        <w:rPr>
          <w:i/>
        </w:rPr>
        <w:t>Źródło: Opracowanie własne na podstawie danych FADN</w:t>
      </w:r>
    </w:p>
    <w:p w:rsidR="00786673" w:rsidRDefault="00786673" w:rsidP="001E6712">
      <w:pPr>
        <w:jc w:val="both"/>
      </w:pPr>
      <w:r>
        <w:t xml:space="preserve">Struktura tej populacji, pomimo iż nie obejmuje ona gospodarstw najmniejszych wskazuje mimo to na silnie rozdrobnioną strukturę obszarową, z dominacją gospodarstw określanych jako „małe".  Stosując tradycyjne miary wielkości gospodarstwa w dużym przybliżeniu można oszacować, że gospodarstwo „małe” w tej próbie ma areał około 11 ha, podczas gdy wielkość gospodarstw średnich i dużych kształtuje się odpowiednio na poziomie 30 i 80 ha UR. </w:t>
      </w:r>
    </w:p>
    <w:p w:rsidR="00786673" w:rsidRDefault="00786673" w:rsidP="001E6712">
      <w:pPr>
        <w:jc w:val="both"/>
      </w:pPr>
      <w:r>
        <w:t>Na rysunku 5 przedstawiono zmiany w wartości produkcji rolniczej w przeliczeniu na 1 ha w wydzielonych grupach gospodarstw o różnej wielkości ekonomicznej.</w:t>
      </w:r>
    </w:p>
    <w:p w:rsidR="00786673" w:rsidRDefault="008007B2" w:rsidP="00224778">
      <w:pPr>
        <w:keepNext/>
        <w:tabs>
          <w:tab w:val="left" w:pos="7230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5038725" cy="2724150"/>
            <wp:effectExtent l="0" t="0" r="0" b="0"/>
            <wp:docPr id="5" name="Wykres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86673" w:rsidRPr="00670DEA" w:rsidRDefault="00786673" w:rsidP="004F414A">
      <w:pPr>
        <w:spacing w:after="0"/>
        <w:jc w:val="both"/>
        <w:rPr>
          <w:rStyle w:val="Pogrubienie"/>
          <w:bCs/>
        </w:rPr>
      </w:pPr>
      <w:r w:rsidRPr="00670DEA">
        <w:rPr>
          <w:rStyle w:val="Pogrubienie"/>
          <w:bCs/>
        </w:rPr>
        <w:t xml:space="preserve">Rysunek </w:t>
      </w:r>
      <w:r w:rsidR="00290E27" w:rsidRPr="00670DEA">
        <w:rPr>
          <w:rStyle w:val="Pogrubienie"/>
          <w:bCs/>
        </w:rPr>
        <w:fldChar w:fldCharType="begin"/>
      </w:r>
      <w:r w:rsidRPr="00670DEA">
        <w:rPr>
          <w:rStyle w:val="Pogrubienie"/>
          <w:bCs/>
        </w:rPr>
        <w:instrText xml:space="preserve"> SEQ Rysunek \* ARABIC </w:instrText>
      </w:r>
      <w:r w:rsidR="00290E27" w:rsidRPr="00670DEA">
        <w:rPr>
          <w:rStyle w:val="Pogrubienie"/>
          <w:bCs/>
        </w:rPr>
        <w:fldChar w:fldCharType="separate"/>
      </w:r>
      <w:r>
        <w:rPr>
          <w:rStyle w:val="Pogrubienie"/>
          <w:bCs/>
          <w:noProof/>
        </w:rPr>
        <w:t>5</w:t>
      </w:r>
      <w:r w:rsidR="00290E27" w:rsidRPr="00670DEA">
        <w:rPr>
          <w:rStyle w:val="Pogrubienie"/>
          <w:bCs/>
        </w:rPr>
        <w:fldChar w:fldCharType="end"/>
      </w:r>
      <w:r w:rsidRPr="00670DEA">
        <w:rPr>
          <w:rStyle w:val="Pogrubienie"/>
          <w:bCs/>
        </w:rPr>
        <w:t xml:space="preserve"> </w:t>
      </w:r>
      <w:r>
        <w:rPr>
          <w:rStyle w:val="Pogrubienie"/>
          <w:bCs/>
        </w:rPr>
        <w:t>Wartość produkcji z 1 ha UR</w:t>
      </w:r>
      <w:r w:rsidRPr="00670DEA">
        <w:rPr>
          <w:rStyle w:val="Pogrubienie"/>
          <w:bCs/>
        </w:rPr>
        <w:t xml:space="preserve"> według wielkości ekonomicznej gospodarstwa</w:t>
      </w:r>
    </w:p>
    <w:p w:rsidR="00786673" w:rsidRPr="00F86981" w:rsidRDefault="00786673" w:rsidP="004F414A">
      <w:pPr>
        <w:rPr>
          <w:i/>
        </w:rPr>
      </w:pPr>
      <w:r w:rsidRPr="00F86981">
        <w:rPr>
          <w:i/>
        </w:rPr>
        <w:t>Źródło: Opracowanie własne na podstawie danych FADN</w:t>
      </w:r>
    </w:p>
    <w:p w:rsidR="00786673" w:rsidRDefault="00786673" w:rsidP="001E6712">
      <w:pPr>
        <w:jc w:val="both"/>
      </w:pPr>
      <w:r>
        <w:t>Zgodnie z ogólnym trendem dla sektora rolnictwa w Polsce produkcja rolnicza rosła w analizowanym okresie w każdej z wyróżnionych grup. Najwyższą wartość  produkcji z hektara osiągały w 2004 roku gospodarstwa „duże”, a najniższą gospodarstwa „małe”. Wobec zbliżonego tempa wzrostu produkcji w grupie małych i średnich gospodarstw określonego za pomocą indeksu zmian, różnice w wartości tego wskaźnika w 2012 roku w tych grupach pozostają na nie zmienionym poziomie. W gospodarstwach dużych relatywnie szybki wzrost wartości produkcji w latach 2008 – 2009 doprowadził do uzyskania przez tę grupę gospodarstw jeszcze większej przewagi w roku 2012.</w:t>
      </w:r>
    </w:p>
    <w:p w:rsidR="00786673" w:rsidRDefault="00786673" w:rsidP="001E6712">
      <w:pPr>
        <w:jc w:val="both"/>
      </w:pPr>
      <w:r>
        <w:t xml:space="preserve">Wzrost wartości produkcji ujawnił się również w gospodarstwach z różnymi kierunkami produkcji, jakkolwiek zróżnicowana była dynamika zmian – szybsze tempo wzrostu cechowało gospodarstwa bydlęce, a najwolniej przyrost produkcji następował w gospodarstwach roślinnych (rysunek 6). W przyjętym do analizy wyjściowym roku 2004 najwyższą wartość produkcji z hektara osiągały gospodarstwa trzodowe, ale trzeba podkreślić, że chów świń nie jest związany z ziemią i przeciętny obszar gospodarstw trzodowych jest znacząco niższy od gospodarstw z pozostałych kierunków produkcji. </w:t>
      </w:r>
    </w:p>
    <w:p w:rsidR="00786673" w:rsidRDefault="008007B2" w:rsidP="00493923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4829175" cy="2847975"/>
            <wp:effectExtent l="0" t="0" r="0" b="0"/>
            <wp:docPr id="6" name="Wykres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86673" w:rsidRPr="00670DEA" w:rsidRDefault="00786673" w:rsidP="0095512B">
      <w:pPr>
        <w:spacing w:after="0"/>
        <w:jc w:val="both"/>
        <w:rPr>
          <w:rStyle w:val="Pogrubienie"/>
          <w:bCs/>
        </w:rPr>
      </w:pPr>
      <w:r w:rsidRPr="00670DEA">
        <w:rPr>
          <w:rStyle w:val="Pogrubienie"/>
          <w:bCs/>
        </w:rPr>
        <w:t xml:space="preserve">Rysunek </w:t>
      </w:r>
      <w:r w:rsidR="00290E27" w:rsidRPr="00670DEA">
        <w:rPr>
          <w:rStyle w:val="Pogrubienie"/>
          <w:bCs/>
        </w:rPr>
        <w:fldChar w:fldCharType="begin"/>
      </w:r>
      <w:r w:rsidRPr="00670DEA">
        <w:rPr>
          <w:rStyle w:val="Pogrubienie"/>
          <w:bCs/>
        </w:rPr>
        <w:instrText xml:space="preserve"> SEQ Rysunek \* ARABIC </w:instrText>
      </w:r>
      <w:r w:rsidR="00290E27" w:rsidRPr="00670DEA">
        <w:rPr>
          <w:rStyle w:val="Pogrubienie"/>
          <w:bCs/>
        </w:rPr>
        <w:fldChar w:fldCharType="separate"/>
      </w:r>
      <w:r>
        <w:rPr>
          <w:rStyle w:val="Pogrubienie"/>
          <w:bCs/>
          <w:noProof/>
        </w:rPr>
        <w:t>6</w:t>
      </w:r>
      <w:r w:rsidR="00290E27" w:rsidRPr="00670DEA">
        <w:rPr>
          <w:rStyle w:val="Pogrubienie"/>
          <w:bCs/>
        </w:rPr>
        <w:fldChar w:fldCharType="end"/>
      </w:r>
      <w:r w:rsidRPr="00670DEA">
        <w:rPr>
          <w:rStyle w:val="Pogrubienie"/>
          <w:bCs/>
        </w:rPr>
        <w:t xml:space="preserve"> </w:t>
      </w:r>
      <w:r>
        <w:rPr>
          <w:rStyle w:val="Pogrubienie"/>
          <w:bCs/>
        </w:rPr>
        <w:t>W</w:t>
      </w:r>
      <w:r w:rsidRPr="00670DEA">
        <w:rPr>
          <w:rStyle w:val="Pogrubienie"/>
          <w:bCs/>
        </w:rPr>
        <w:t xml:space="preserve">artość produkcji z 1 ha </w:t>
      </w:r>
      <w:r>
        <w:rPr>
          <w:rStyle w:val="Pogrubienie"/>
          <w:bCs/>
        </w:rPr>
        <w:t>UR</w:t>
      </w:r>
      <w:r w:rsidRPr="00670DEA">
        <w:rPr>
          <w:rStyle w:val="Pogrubienie"/>
          <w:bCs/>
        </w:rPr>
        <w:t xml:space="preserve"> według typów produkcyjnych</w:t>
      </w:r>
    </w:p>
    <w:p w:rsidR="00786673" w:rsidRPr="00F86981" w:rsidRDefault="00786673" w:rsidP="00CC34E4">
      <w:pPr>
        <w:rPr>
          <w:i/>
        </w:rPr>
      </w:pPr>
      <w:r w:rsidRPr="00F86981">
        <w:rPr>
          <w:i/>
        </w:rPr>
        <w:t>Źródło: Opracowanie własne na podstawie danych FADN</w:t>
      </w:r>
    </w:p>
    <w:p w:rsidR="00786673" w:rsidRPr="00CC34E4" w:rsidRDefault="00786673" w:rsidP="001E6712">
      <w:pPr>
        <w:jc w:val="both"/>
      </w:pPr>
      <w:r>
        <w:t xml:space="preserve">Na rysunku 7 przedstawiono kształtowanie się dochodu rolniczego z gospodarstw z próby FADN o różnej wielkości ekonomicznej. Oczywiste jest, że dochody w gospodarstwach „dużych” wielokrotnie przewyższają przeciętny poziom dochodu rolniczego w zarówno w gospodarstwach „małych”, jak również „średnich”. Przeciętny dochód rolniczy  w Polsce (uznając reprezentatywność próby gospodarstw  FADN dla sektora gospodarstw powyżej 2000€ standardowej produkcji)  kształtuje się na relatywnie niskim poziomie (ok. 37 tys. zł w 2012 roku) ze względu na dominujący w strukturze gospodarstw udział gospodarstw „małych”, z dochodem rolniczym na poziomie 20 tys. zł. </w:t>
      </w:r>
    </w:p>
    <w:p w:rsidR="00786673" w:rsidRDefault="008007B2" w:rsidP="00493923">
      <w:pPr>
        <w:jc w:val="center"/>
      </w:pPr>
      <w:r>
        <w:rPr>
          <w:noProof/>
          <w:sz w:val="20"/>
          <w:lang w:eastAsia="pl-PL"/>
        </w:rPr>
        <w:drawing>
          <wp:inline distT="0" distB="0" distL="0" distR="0">
            <wp:extent cx="4989439" cy="2860925"/>
            <wp:effectExtent l="12183" t="6100" r="8528" b="0"/>
            <wp:docPr id="7" name="Wykres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86673" w:rsidRPr="00670DEA" w:rsidRDefault="00786673" w:rsidP="0095512B">
      <w:pPr>
        <w:spacing w:after="0"/>
        <w:jc w:val="both"/>
        <w:rPr>
          <w:rStyle w:val="Pogrubienie"/>
          <w:bCs/>
        </w:rPr>
      </w:pPr>
      <w:r w:rsidRPr="00670DEA">
        <w:rPr>
          <w:rStyle w:val="Pogrubienie"/>
          <w:bCs/>
        </w:rPr>
        <w:t xml:space="preserve">Rysunek </w:t>
      </w:r>
      <w:r w:rsidR="00290E27" w:rsidRPr="00670DEA">
        <w:rPr>
          <w:rStyle w:val="Pogrubienie"/>
          <w:bCs/>
        </w:rPr>
        <w:fldChar w:fldCharType="begin"/>
      </w:r>
      <w:r w:rsidRPr="00670DEA">
        <w:rPr>
          <w:rStyle w:val="Pogrubienie"/>
          <w:bCs/>
        </w:rPr>
        <w:instrText xml:space="preserve"> SEQ Rysunek \* ARABIC </w:instrText>
      </w:r>
      <w:r w:rsidR="00290E27" w:rsidRPr="00670DEA">
        <w:rPr>
          <w:rStyle w:val="Pogrubienie"/>
          <w:bCs/>
        </w:rPr>
        <w:fldChar w:fldCharType="separate"/>
      </w:r>
      <w:r>
        <w:rPr>
          <w:rStyle w:val="Pogrubienie"/>
          <w:bCs/>
          <w:noProof/>
        </w:rPr>
        <w:t>7</w:t>
      </w:r>
      <w:r w:rsidR="00290E27" w:rsidRPr="00670DEA">
        <w:rPr>
          <w:rStyle w:val="Pogrubienie"/>
          <w:bCs/>
        </w:rPr>
        <w:fldChar w:fldCharType="end"/>
      </w:r>
      <w:r w:rsidRPr="00670DEA">
        <w:rPr>
          <w:rStyle w:val="Pogrubienie"/>
          <w:bCs/>
        </w:rPr>
        <w:t xml:space="preserve"> </w:t>
      </w:r>
      <w:r>
        <w:rPr>
          <w:rStyle w:val="Pogrubienie"/>
          <w:bCs/>
        </w:rPr>
        <w:t>D</w:t>
      </w:r>
      <w:r w:rsidRPr="00670DEA">
        <w:rPr>
          <w:rStyle w:val="Pogrubienie"/>
          <w:bCs/>
        </w:rPr>
        <w:t>ochód rolniczy w przeliczeniu na gospodarstwo [zł]</w:t>
      </w:r>
    </w:p>
    <w:p w:rsidR="00786673" w:rsidRPr="00F86981" w:rsidRDefault="00786673" w:rsidP="00CC34E4">
      <w:pPr>
        <w:rPr>
          <w:i/>
        </w:rPr>
      </w:pPr>
      <w:r w:rsidRPr="00F86981">
        <w:rPr>
          <w:i/>
        </w:rPr>
        <w:t>Źródło: Opracowanie własne na podstawie danych FADN</w:t>
      </w:r>
    </w:p>
    <w:p w:rsidR="00786673" w:rsidRDefault="00786673" w:rsidP="001E6712">
      <w:pPr>
        <w:jc w:val="both"/>
      </w:pPr>
      <w:r>
        <w:t xml:space="preserve">Dochody rolnicze w przeliczeniu na hektar rosły, w ujęciu nominalnym, podobnie jak wartość produkcji rolniczej we wszystkich grupach gospodarstw, za wyjątkiem gospodarstw drobiarskich (tabela 8).  </w:t>
      </w:r>
    </w:p>
    <w:p w:rsidR="00786673" w:rsidRDefault="00786673" w:rsidP="001E6712">
      <w:pPr>
        <w:jc w:val="both"/>
      </w:pPr>
      <w:r>
        <w:t>Przyrost dochodów rolniczych w Polsce następował bez istotnych wahań w kolejnych latach w okresie 2004-2012 i kształtowany był przede wszystkim przez wzrost wartości produkcji rolniczej oraz sukcesywne podnoszenie poziomu wsparcia finansowego dla rolnictwa w związku z mechanizmem phasing-in [Żmija 2011].</w:t>
      </w:r>
    </w:p>
    <w:p w:rsidR="00786673" w:rsidRPr="00670DEA" w:rsidRDefault="00786673" w:rsidP="00670DEA">
      <w:pPr>
        <w:jc w:val="both"/>
        <w:rPr>
          <w:rStyle w:val="Pogrubienie"/>
          <w:bCs/>
        </w:rPr>
      </w:pPr>
      <w:r w:rsidRPr="00670DEA">
        <w:rPr>
          <w:rStyle w:val="Pogrubienie"/>
          <w:bCs/>
        </w:rPr>
        <w:t xml:space="preserve">Tabela </w:t>
      </w:r>
      <w:r w:rsidR="00290E27" w:rsidRPr="00670DEA">
        <w:rPr>
          <w:rStyle w:val="Pogrubienie"/>
          <w:bCs/>
        </w:rPr>
        <w:fldChar w:fldCharType="begin"/>
      </w:r>
      <w:r w:rsidRPr="00670DEA">
        <w:rPr>
          <w:rStyle w:val="Pogrubienie"/>
          <w:bCs/>
        </w:rPr>
        <w:instrText xml:space="preserve"> SEQ Tabela \* ARABIC </w:instrText>
      </w:r>
      <w:r w:rsidR="00290E27" w:rsidRPr="00670DEA">
        <w:rPr>
          <w:rStyle w:val="Pogrubienie"/>
          <w:bCs/>
        </w:rPr>
        <w:fldChar w:fldCharType="separate"/>
      </w:r>
      <w:r>
        <w:rPr>
          <w:rStyle w:val="Pogrubienie"/>
          <w:bCs/>
          <w:noProof/>
        </w:rPr>
        <w:t>8</w:t>
      </w:r>
      <w:r w:rsidR="00290E27" w:rsidRPr="00670DEA">
        <w:rPr>
          <w:rStyle w:val="Pogrubienie"/>
          <w:bCs/>
        </w:rPr>
        <w:fldChar w:fldCharType="end"/>
      </w:r>
      <w:r w:rsidRPr="00670DEA">
        <w:rPr>
          <w:rStyle w:val="Pogrubienie"/>
          <w:bCs/>
        </w:rPr>
        <w:t xml:space="preserve"> </w:t>
      </w:r>
      <w:r>
        <w:rPr>
          <w:rStyle w:val="Pogrubienie"/>
          <w:bCs/>
        </w:rPr>
        <w:t>Z</w:t>
      </w:r>
      <w:r w:rsidRPr="00670DEA">
        <w:rPr>
          <w:rStyle w:val="Pogrubienie"/>
          <w:bCs/>
        </w:rPr>
        <w:t>miany w dochodzie rolniczym wg wielkości i kierunku produkcji [</w:t>
      </w:r>
      <w:r>
        <w:rPr>
          <w:rStyle w:val="Pogrubienie"/>
          <w:bCs/>
        </w:rPr>
        <w:t>zł/ha</w:t>
      </w:r>
      <w:r w:rsidRPr="00670DEA">
        <w:rPr>
          <w:rStyle w:val="Pogrubienie"/>
          <w:bCs/>
        </w:rPr>
        <w:t>]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3"/>
        <w:gridCol w:w="1586"/>
        <w:gridCol w:w="1586"/>
        <w:gridCol w:w="1787"/>
      </w:tblGrid>
      <w:tr w:rsidR="00786673" w:rsidRPr="00200ABD" w:rsidTr="006C2684">
        <w:trPr>
          <w:trHeight w:hRule="exact" w:val="631"/>
        </w:trPr>
        <w:tc>
          <w:tcPr>
            <w:tcW w:w="4113" w:type="dxa"/>
          </w:tcPr>
          <w:p w:rsidR="00786673" w:rsidRPr="006C2684" w:rsidRDefault="00786673" w:rsidP="00200ABD">
            <w:pPr>
              <w:spacing w:after="0" w:line="240" w:lineRule="auto"/>
            </w:pPr>
            <w:r w:rsidRPr="006C2684">
              <w:rPr>
                <w:bCs/>
              </w:rPr>
              <w:t>WYSZCZEGÓLNIENIE</w:t>
            </w:r>
          </w:p>
        </w:tc>
        <w:tc>
          <w:tcPr>
            <w:tcW w:w="1586" w:type="dxa"/>
          </w:tcPr>
          <w:p w:rsidR="00786673" w:rsidRPr="006C2684" w:rsidRDefault="00786673" w:rsidP="006C2684">
            <w:pPr>
              <w:spacing w:after="0" w:line="240" w:lineRule="auto"/>
              <w:jc w:val="center"/>
            </w:pPr>
            <w:r>
              <w:rPr>
                <w:bCs/>
              </w:rPr>
              <w:t xml:space="preserve">2004 </w:t>
            </w:r>
            <w:r>
              <w:rPr>
                <w:bCs/>
              </w:rPr>
              <w:br/>
            </w:r>
            <w:r>
              <w:t>[zł/ha]</w:t>
            </w:r>
          </w:p>
        </w:tc>
        <w:tc>
          <w:tcPr>
            <w:tcW w:w="1586" w:type="dxa"/>
          </w:tcPr>
          <w:p w:rsidR="00786673" w:rsidRPr="006C2684" w:rsidRDefault="00786673" w:rsidP="006C2684">
            <w:pPr>
              <w:spacing w:after="0" w:line="240" w:lineRule="auto"/>
              <w:jc w:val="center"/>
            </w:pPr>
            <w:r w:rsidRPr="006C2684">
              <w:rPr>
                <w:bCs/>
              </w:rPr>
              <w:t>2012</w:t>
            </w:r>
          </w:p>
          <w:p w:rsidR="00786673" w:rsidRPr="006C2684" w:rsidRDefault="00786673" w:rsidP="006C2684">
            <w:pPr>
              <w:spacing w:after="0" w:line="240" w:lineRule="auto"/>
              <w:jc w:val="center"/>
            </w:pPr>
            <w:r>
              <w:rPr>
                <w:bCs/>
              </w:rPr>
              <w:t>[zł/ha]</w:t>
            </w:r>
          </w:p>
        </w:tc>
        <w:tc>
          <w:tcPr>
            <w:tcW w:w="1787" w:type="dxa"/>
          </w:tcPr>
          <w:p w:rsidR="00786673" w:rsidRPr="006C2684" w:rsidRDefault="00786673" w:rsidP="006C2684">
            <w:pPr>
              <w:spacing w:after="0" w:line="240" w:lineRule="auto"/>
              <w:jc w:val="center"/>
            </w:pPr>
            <w:r w:rsidRPr="006C2684">
              <w:rPr>
                <w:bCs/>
              </w:rPr>
              <w:t>ZMIANA</w:t>
            </w:r>
          </w:p>
          <w:p w:rsidR="00786673" w:rsidRPr="006C2684" w:rsidRDefault="00786673" w:rsidP="006C2684">
            <w:pPr>
              <w:spacing w:after="0" w:line="240" w:lineRule="auto"/>
              <w:jc w:val="center"/>
            </w:pPr>
            <w:r>
              <w:rPr>
                <w:bCs/>
              </w:rPr>
              <w:t>[2004=100]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9072" w:type="dxa"/>
            <w:gridSpan w:val="4"/>
            <w:vAlign w:val="center"/>
          </w:tcPr>
          <w:p w:rsidR="00786673" w:rsidRPr="006C2684" w:rsidRDefault="00786673" w:rsidP="006C2684">
            <w:pPr>
              <w:spacing w:after="0" w:line="240" w:lineRule="auto"/>
              <w:jc w:val="center"/>
            </w:pPr>
            <w:r w:rsidRPr="006C2684">
              <w:rPr>
                <w:bCs/>
              </w:rPr>
              <w:t>Ze względu na wielkość ekonomiczną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4113" w:type="dxa"/>
            <w:vAlign w:val="center"/>
          </w:tcPr>
          <w:p w:rsidR="00786673" w:rsidRPr="006C2684" w:rsidRDefault="00786673" w:rsidP="00200ABD">
            <w:pPr>
              <w:spacing w:after="0" w:line="240" w:lineRule="auto"/>
            </w:pPr>
            <w:r w:rsidRPr="006C2684">
              <w:t>Małe</w:t>
            </w:r>
          </w:p>
        </w:tc>
        <w:tc>
          <w:tcPr>
            <w:tcW w:w="1586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861</w:t>
            </w:r>
          </w:p>
        </w:tc>
        <w:tc>
          <w:tcPr>
            <w:tcW w:w="1586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1671</w:t>
            </w:r>
          </w:p>
        </w:tc>
        <w:tc>
          <w:tcPr>
            <w:tcW w:w="1787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194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4113" w:type="dxa"/>
            <w:vAlign w:val="center"/>
          </w:tcPr>
          <w:p w:rsidR="00786673" w:rsidRPr="006C2684" w:rsidRDefault="00786673" w:rsidP="00200ABD">
            <w:pPr>
              <w:spacing w:after="0" w:line="240" w:lineRule="auto"/>
            </w:pPr>
            <w:r w:rsidRPr="006C2684">
              <w:t>Średnie</w:t>
            </w:r>
          </w:p>
        </w:tc>
        <w:tc>
          <w:tcPr>
            <w:tcW w:w="1586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1539</w:t>
            </w:r>
          </w:p>
        </w:tc>
        <w:tc>
          <w:tcPr>
            <w:tcW w:w="1586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2622</w:t>
            </w:r>
          </w:p>
        </w:tc>
        <w:tc>
          <w:tcPr>
            <w:tcW w:w="1787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170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4113" w:type="dxa"/>
            <w:vAlign w:val="center"/>
          </w:tcPr>
          <w:p w:rsidR="00786673" w:rsidRPr="006C2684" w:rsidRDefault="00786673" w:rsidP="00200ABD">
            <w:pPr>
              <w:spacing w:after="0" w:line="240" w:lineRule="auto"/>
            </w:pPr>
            <w:r w:rsidRPr="006C2684">
              <w:t>Duże</w:t>
            </w:r>
          </w:p>
        </w:tc>
        <w:tc>
          <w:tcPr>
            <w:tcW w:w="1586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1920</w:t>
            </w:r>
          </w:p>
        </w:tc>
        <w:tc>
          <w:tcPr>
            <w:tcW w:w="1586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3554</w:t>
            </w:r>
          </w:p>
        </w:tc>
        <w:tc>
          <w:tcPr>
            <w:tcW w:w="1787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185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9072" w:type="dxa"/>
            <w:gridSpan w:val="4"/>
            <w:vAlign w:val="center"/>
          </w:tcPr>
          <w:p w:rsidR="00786673" w:rsidRPr="006C2684" w:rsidRDefault="00786673" w:rsidP="006C2684">
            <w:pPr>
              <w:spacing w:after="0" w:line="240" w:lineRule="auto"/>
              <w:jc w:val="center"/>
            </w:pPr>
            <w:r w:rsidRPr="006C2684">
              <w:rPr>
                <w:bCs/>
              </w:rPr>
              <w:t>Ze względu na typ produkcyjny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4113" w:type="dxa"/>
            <w:vAlign w:val="center"/>
          </w:tcPr>
          <w:p w:rsidR="00786673" w:rsidRPr="006C2684" w:rsidRDefault="00786673" w:rsidP="00200ABD">
            <w:pPr>
              <w:spacing w:after="0" w:line="240" w:lineRule="auto"/>
            </w:pPr>
            <w:r w:rsidRPr="006C2684">
              <w:t>Roślinne</w:t>
            </w:r>
          </w:p>
        </w:tc>
        <w:tc>
          <w:tcPr>
            <w:tcW w:w="1586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1356</w:t>
            </w:r>
          </w:p>
        </w:tc>
        <w:tc>
          <w:tcPr>
            <w:tcW w:w="1586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2661</w:t>
            </w:r>
          </w:p>
        </w:tc>
        <w:tc>
          <w:tcPr>
            <w:tcW w:w="1787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196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4113" w:type="dxa"/>
            <w:vAlign w:val="center"/>
          </w:tcPr>
          <w:p w:rsidR="00786673" w:rsidRPr="006C2684" w:rsidRDefault="00786673" w:rsidP="00200ABD">
            <w:pPr>
              <w:spacing w:after="0" w:line="240" w:lineRule="auto"/>
            </w:pPr>
            <w:r w:rsidRPr="006C2684">
              <w:t>Bydlęce</w:t>
            </w:r>
          </w:p>
        </w:tc>
        <w:tc>
          <w:tcPr>
            <w:tcW w:w="1586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1249</w:t>
            </w:r>
          </w:p>
        </w:tc>
        <w:tc>
          <w:tcPr>
            <w:tcW w:w="1586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2174</w:t>
            </w:r>
          </w:p>
        </w:tc>
        <w:tc>
          <w:tcPr>
            <w:tcW w:w="1787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174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4113" w:type="dxa"/>
            <w:vAlign w:val="center"/>
          </w:tcPr>
          <w:p w:rsidR="00786673" w:rsidRPr="006C2684" w:rsidRDefault="00786673" w:rsidP="00200ABD">
            <w:pPr>
              <w:spacing w:after="0" w:line="240" w:lineRule="auto"/>
            </w:pPr>
            <w:r w:rsidRPr="006C2684">
              <w:t>Trzodowe</w:t>
            </w:r>
          </w:p>
        </w:tc>
        <w:tc>
          <w:tcPr>
            <w:tcW w:w="1586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2779</w:t>
            </w:r>
          </w:p>
        </w:tc>
        <w:tc>
          <w:tcPr>
            <w:tcW w:w="1586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3771</w:t>
            </w:r>
          </w:p>
        </w:tc>
        <w:tc>
          <w:tcPr>
            <w:tcW w:w="1787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136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4113" w:type="dxa"/>
            <w:vAlign w:val="center"/>
          </w:tcPr>
          <w:p w:rsidR="00786673" w:rsidRPr="006C2684" w:rsidRDefault="00786673" w:rsidP="00200ABD">
            <w:pPr>
              <w:spacing w:after="0" w:line="240" w:lineRule="auto"/>
            </w:pPr>
            <w:r w:rsidRPr="006C2684">
              <w:t>Drobiowe</w:t>
            </w:r>
          </w:p>
        </w:tc>
        <w:tc>
          <w:tcPr>
            <w:tcW w:w="1586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12635</w:t>
            </w:r>
          </w:p>
        </w:tc>
        <w:tc>
          <w:tcPr>
            <w:tcW w:w="1586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10194</w:t>
            </w:r>
          </w:p>
        </w:tc>
        <w:tc>
          <w:tcPr>
            <w:tcW w:w="1787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81</w:t>
            </w:r>
          </w:p>
        </w:tc>
      </w:tr>
      <w:tr w:rsidR="00786673" w:rsidRPr="00200ABD" w:rsidTr="00224778">
        <w:trPr>
          <w:trHeight w:hRule="exact" w:val="340"/>
        </w:trPr>
        <w:tc>
          <w:tcPr>
            <w:tcW w:w="4113" w:type="dxa"/>
            <w:vAlign w:val="center"/>
          </w:tcPr>
          <w:p w:rsidR="00786673" w:rsidRPr="006C2684" w:rsidRDefault="00786673" w:rsidP="00200ABD">
            <w:pPr>
              <w:spacing w:after="0" w:line="240" w:lineRule="auto"/>
            </w:pPr>
            <w:r w:rsidRPr="006C2684">
              <w:t>Mieszane</w:t>
            </w:r>
          </w:p>
        </w:tc>
        <w:tc>
          <w:tcPr>
            <w:tcW w:w="1586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981</w:t>
            </w:r>
          </w:p>
        </w:tc>
        <w:tc>
          <w:tcPr>
            <w:tcW w:w="1586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1776</w:t>
            </w:r>
          </w:p>
        </w:tc>
        <w:tc>
          <w:tcPr>
            <w:tcW w:w="1787" w:type="dxa"/>
            <w:vAlign w:val="center"/>
          </w:tcPr>
          <w:p w:rsidR="00786673" w:rsidRPr="006C2684" w:rsidRDefault="00786673" w:rsidP="00200ABD">
            <w:pPr>
              <w:spacing w:after="0" w:line="240" w:lineRule="auto"/>
              <w:jc w:val="center"/>
            </w:pPr>
            <w:r w:rsidRPr="006C2684">
              <w:rPr>
                <w:bCs/>
              </w:rPr>
              <w:t>180</w:t>
            </w:r>
          </w:p>
        </w:tc>
      </w:tr>
    </w:tbl>
    <w:p w:rsidR="00786673" w:rsidRPr="00F86981" w:rsidRDefault="00786673" w:rsidP="00CC34E4">
      <w:pPr>
        <w:rPr>
          <w:i/>
        </w:rPr>
      </w:pPr>
      <w:r w:rsidRPr="00F86981">
        <w:rPr>
          <w:i/>
        </w:rPr>
        <w:t>Źródło: Opracowanie własne na podstawie danych FADN</w:t>
      </w:r>
    </w:p>
    <w:p w:rsidR="00786673" w:rsidRDefault="00786673" w:rsidP="001E6712">
      <w:pPr>
        <w:jc w:val="both"/>
      </w:pPr>
      <w:r>
        <w:t>W przypadku gospodarstw z różną wielkością ekonomiczną nieznacznie silniej wzrosły dochody rolnicze w gospodarstwach „małych”, ale można przyjąć że różnice pomiędzy grupami gospodarstw pozostały na podobnym poziomie.</w:t>
      </w:r>
    </w:p>
    <w:p w:rsidR="00786673" w:rsidRDefault="00786673" w:rsidP="001E6712">
      <w:pPr>
        <w:jc w:val="both"/>
      </w:pPr>
      <w:r>
        <w:t>W odniesieniu do gospodarstw o różnym kierunku produkcji jednostka powierzchni nie jest odpowiednią miarą do porównań między typami gospodarstw, ze względu na zdecydowanie mniejszą powierzchnię i słabe powiązanie produkcji z ziemią w gospodarstwach trzodowych i drobiarskich. Uprawnione są natomiast porównania w czasie w obrębie poszczególnych typów gospodarstw. Wynika z nich, że w okresie 2004-2012 podobny i relatywnie silny wzrost dochodów z hektara nastąpił w gospodarstwach roślinnych i w gospodarstwach z bydłem (bydlęce, mieszane). W gospodarstwach trzodowych odnotowano co prawda niewielki wzrost nominalnego dochodu, ale  można szacować, że realne dochody nieznacznie spadły. Niższy, nominalny dochód rolniczy z hektara odnotowano jedynie w gospodarstwach drobiarskich.</w:t>
      </w:r>
    </w:p>
    <w:p w:rsidR="00786673" w:rsidRDefault="00786673" w:rsidP="001E6712">
      <w:pPr>
        <w:jc w:val="both"/>
      </w:pPr>
      <w:r>
        <w:t xml:space="preserve">Siła ekonomiczna i wielkość gospodarstw determinują w głównym stopniu zdolność do generowania dochodów z pracy w gospodarstwie rolniczym. Na rysunku 8 przedstawiono poziom i dynamikę zmian dochodu rolniczego w przeliczeniu na jednostkę pełnozatrudnioną w gospodarstwach według wielkości ekonomicznej. </w:t>
      </w:r>
    </w:p>
    <w:p w:rsidR="00786673" w:rsidRDefault="008007B2" w:rsidP="004D4992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4857293" cy="2794262"/>
            <wp:effectExtent l="12192" t="6088" r="7315" b="0"/>
            <wp:docPr id="8" name="Wykres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86673" w:rsidRPr="00670DEA" w:rsidRDefault="00786673" w:rsidP="004F414A">
      <w:pPr>
        <w:spacing w:after="0"/>
        <w:jc w:val="both"/>
        <w:rPr>
          <w:rStyle w:val="Pogrubienie"/>
          <w:bCs/>
        </w:rPr>
      </w:pPr>
      <w:r w:rsidRPr="00670DEA">
        <w:rPr>
          <w:rStyle w:val="Pogrubienie"/>
          <w:bCs/>
        </w:rPr>
        <w:t xml:space="preserve">Rysunek </w:t>
      </w:r>
      <w:r w:rsidR="00290E27" w:rsidRPr="00670DEA">
        <w:rPr>
          <w:rStyle w:val="Pogrubienie"/>
          <w:bCs/>
        </w:rPr>
        <w:fldChar w:fldCharType="begin"/>
      </w:r>
      <w:r w:rsidRPr="00670DEA">
        <w:rPr>
          <w:rStyle w:val="Pogrubienie"/>
          <w:bCs/>
        </w:rPr>
        <w:instrText xml:space="preserve"> SEQ Rysunek \* ARABIC </w:instrText>
      </w:r>
      <w:r w:rsidR="00290E27" w:rsidRPr="00670DEA">
        <w:rPr>
          <w:rStyle w:val="Pogrubienie"/>
          <w:bCs/>
        </w:rPr>
        <w:fldChar w:fldCharType="separate"/>
      </w:r>
      <w:r>
        <w:rPr>
          <w:rStyle w:val="Pogrubienie"/>
          <w:bCs/>
          <w:noProof/>
        </w:rPr>
        <w:t>8</w:t>
      </w:r>
      <w:r w:rsidR="00290E27" w:rsidRPr="00670DEA">
        <w:rPr>
          <w:rStyle w:val="Pogrubienie"/>
          <w:bCs/>
        </w:rPr>
        <w:fldChar w:fldCharType="end"/>
      </w:r>
      <w:r w:rsidRPr="00670DEA">
        <w:rPr>
          <w:rStyle w:val="Pogrubienie"/>
          <w:bCs/>
        </w:rPr>
        <w:t xml:space="preserve"> </w:t>
      </w:r>
      <w:r>
        <w:rPr>
          <w:rStyle w:val="Pogrubienie"/>
          <w:bCs/>
        </w:rPr>
        <w:t>D</w:t>
      </w:r>
      <w:r w:rsidRPr="00670DEA">
        <w:rPr>
          <w:rStyle w:val="Pogrubienie"/>
          <w:bCs/>
        </w:rPr>
        <w:t>ochód rolniczy w przeliczeniu na jednostkę pełnozatrudnioną [</w:t>
      </w:r>
      <w:r>
        <w:rPr>
          <w:rStyle w:val="Pogrubienie"/>
          <w:bCs/>
        </w:rPr>
        <w:t>zł</w:t>
      </w:r>
      <w:r w:rsidRPr="00670DEA">
        <w:rPr>
          <w:rStyle w:val="Pogrubienie"/>
          <w:bCs/>
        </w:rPr>
        <w:t>/AWU]</w:t>
      </w:r>
    </w:p>
    <w:p w:rsidR="00786673" w:rsidRPr="00F86981" w:rsidRDefault="00786673" w:rsidP="004F414A">
      <w:pPr>
        <w:rPr>
          <w:i/>
        </w:rPr>
      </w:pPr>
      <w:r w:rsidRPr="00F86981">
        <w:rPr>
          <w:i/>
        </w:rPr>
        <w:t>Źródło: Opracowanie własne na podstawie danych FADN</w:t>
      </w:r>
    </w:p>
    <w:p w:rsidR="00786673" w:rsidRDefault="00786673" w:rsidP="001E6712">
      <w:pPr>
        <w:jc w:val="both"/>
      </w:pPr>
      <w:r>
        <w:t xml:space="preserve">W wyjściowym roku dochód z pracy w gospodarstwach „dużych” niemal dziesięciokrotnie przewyższał przeciętne dochody w gospodarstwach „małych”, w których poziom dochodu kształtował się na poziomie poniżej dochodu parytetowego. W okresie do 2012 roku dochód rolniczy w przeliczeniu na jednostkę pełnozatrudnioną przeciętnie podwoił się, przy czym  nieznacznie wyższą dynamiką wzrostu tego wskaźnika cechowały się gospodarstwa „małe” i „średnie”. Pomimo tego, sytuacja dochodowa gospodarstw mniejszych obszarowo, z niewielką skalą produkcji wskazuje na istniejący dylemat dla polityki rolnej i polityki rozwoju obszarów wiejskich w Polsce. </w:t>
      </w:r>
    </w:p>
    <w:p w:rsidR="00786673" w:rsidRDefault="00786673" w:rsidP="00E714BF">
      <w:pPr>
        <w:jc w:val="both"/>
      </w:pPr>
      <w:r>
        <w:t xml:space="preserve">Do oceny efektywności produkcji rolniczej zastosowano również </w:t>
      </w:r>
      <w:r w:rsidRPr="001E6712">
        <w:t>wskaźnik dochodowości</w:t>
      </w:r>
      <w:r>
        <w:t xml:space="preserve"> określony jako stosunek dochodu rolniczego do poniesionych kosztów całościowych (rysunek 9 i 10). </w:t>
      </w:r>
    </w:p>
    <w:p w:rsidR="00786673" w:rsidRDefault="008007B2" w:rsidP="004D4992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4953000" cy="2714625"/>
            <wp:effectExtent l="0" t="0" r="0" b="0"/>
            <wp:docPr id="9" name="Wykres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86673" w:rsidRPr="00670DEA" w:rsidRDefault="00786673" w:rsidP="0095512B">
      <w:pPr>
        <w:spacing w:after="0"/>
        <w:jc w:val="both"/>
        <w:rPr>
          <w:rStyle w:val="Pogrubienie"/>
          <w:bCs/>
        </w:rPr>
      </w:pPr>
      <w:r w:rsidRPr="00670DEA">
        <w:rPr>
          <w:rStyle w:val="Pogrubienie"/>
          <w:bCs/>
        </w:rPr>
        <w:t xml:space="preserve">Rysunek </w:t>
      </w:r>
      <w:r w:rsidR="00290E27" w:rsidRPr="00670DEA">
        <w:rPr>
          <w:rStyle w:val="Pogrubienie"/>
          <w:bCs/>
        </w:rPr>
        <w:fldChar w:fldCharType="begin"/>
      </w:r>
      <w:r w:rsidRPr="00670DEA">
        <w:rPr>
          <w:rStyle w:val="Pogrubienie"/>
          <w:bCs/>
        </w:rPr>
        <w:instrText xml:space="preserve"> SEQ Rysunek \* ARABIC </w:instrText>
      </w:r>
      <w:r w:rsidR="00290E27" w:rsidRPr="00670DEA">
        <w:rPr>
          <w:rStyle w:val="Pogrubienie"/>
          <w:bCs/>
        </w:rPr>
        <w:fldChar w:fldCharType="separate"/>
      </w:r>
      <w:r>
        <w:rPr>
          <w:rStyle w:val="Pogrubienie"/>
          <w:bCs/>
          <w:noProof/>
        </w:rPr>
        <w:t>9</w:t>
      </w:r>
      <w:r w:rsidR="00290E27" w:rsidRPr="00670DEA">
        <w:rPr>
          <w:rStyle w:val="Pogrubienie"/>
          <w:bCs/>
        </w:rPr>
        <w:fldChar w:fldCharType="end"/>
      </w:r>
      <w:r w:rsidRPr="00670DEA">
        <w:rPr>
          <w:rStyle w:val="Pogrubienie"/>
          <w:bCs/>
        </w:rPr>
        <w:t xml:space="preserve"> </w:t>
      </w:r>
      <w:r>
        <w:rPr>
          <w:rStyle w:val="Pogrubienie"/>
          <w:bCs/>
        </w:rPr>
        <w:t>E</w:t>
      </w:r>
      <w:r w:rsidRPr="00670DEA">
        <w:rPr>
          <w:rStyle w:val="Pogrubienie"/>
          <w:bCs/>
        </w:rPr>
        <w:t>fektywność gospodarstw o różnej wielkości ekonomicznej</w:t>
      </w:r>
    </w:p>
    <w:p w:rsidR="00786673" w:rsidRPr="00F86981" w:rsidRDefault="00786673" w:rsidP="00CC34E4">
      <w:pPr>
        <w:rPr>
          <w:i/>
        </w:rPr>
      </w:pPr>
      <w:r w:rsidRPr="00F86981">
        <w:rPr>
          <w:i/>
        </w:rPr>
        <w:t>Źródło: Opracowanie własne na podstawie danych FADN</w:t>
      </w:r>
    </w:p>
    <w:p w:rsidR="00786673" w:rsidRDefault="008007B2" w:rsidP="0064546E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4848225" cy="2847975"/>
            <wp:effectExtent l="0" t="0" r="0" b="0"/>
            <wp:docPr id="10" name="Wykres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86673" w:rsidRPr="00670DEA" w:rsidRDefault="00786673" w:rsidP="0095512B">
      <w:pPr>
        <w:spacing w:after="0"/>
        <w:jc w:val="both"/>
        <w:rPr>
          <w:rStyle w:val="Pogrubienie"/>
          <w:bCs/>
        </w:rPr>
      </w:pPr>
      <w:r w:rsidRPr="00670DEA">
        <w:rPr>
          <w:rStyle w:val="Pogrubienie"/>
          <w:bCs/>
        </w:rPr>
        <w:t xml:space="preserve">Rysunek </w:t>
      </w:r>
      <w:r w:rsidR="00290E27" w:rsidRPr="00670DEA">
        <w:rPr>
          <w:rStyle w:val="Pogrubienie"/>
          <w:bCs/>
        </w:rPr>
        <w:fldChar w:fldCharType="begin"/>
      </w:r>
      <w:r w:rsidRPr="00670DEA">
        <w:rPr>
          <w:rStyle w:val="Pogrubienie"/>
          <w:bCs/>
        </w:rPr>
        <w:instrText xml:space="preserve"> SEQ Rysunek \* ARABIC </w:instrText>
      </w:r>
      <w:r w:rsidR="00290E27" w:rsidRPr="00670DEA">
        <w:rPr>
          <w:rStyle w:val="Pogrubienie"/>
          <w:bCs/>
        </w:rPr>
        <w:fldChar w:fldCharType="separate"/>
      </w:r>
      <w:r>
        <w:rPr>
          <w:rStyle w:val="Pogrubienie"/>
          <w:bCs/>
          <w:noProof/>
        </w:rPr>
        <w:t>10</w:t>
      </w:r>
      <w:r w:rsidR="00290E27" w:rsidRPr="00670DEA">
        <w:rPr>
          <w:rStyle w:val="Pogrubienie"/>
          <w:bCs/>
        </w:rPr>
        <w:fldChar w:fldCharType="end"/>
      </w:r>
      <w:r w:rsidRPr="00670DEA">
        <w:rPr>
          <w:rStyle w:val="Pogrubienie"/>
          <w:bCs/>
        </w:rPr>
        <w:t xml:space="preserve"> </w:t>
      </w:r>
      <w:r>
        <w:rPr>
          <w:rStyle w:val="Pogrubienie"/>
          <w:bCs/>
        </w:rPr>
        <w:t>E</w:t>
      </w:r>
      <w:r w:rsidRPr="00670DEA">
        <w:rPr>
          <w:rStyle w:val="Pogrubienie"/>
          <w:bCs/>
        </w:rPr>
        <w:t>fektywność gospodarstw ze względu na typ produkcyjny</w:t>
      </w:r>
    </w:p>
    <w:p w:rsidR="00786673" w:rsidRPr="00F86981" w:rsidRDefault="00786673" w:rsidP="00CC34E4">
      <w:pPr>
        <w:rPr>
          <w:i/>
        </w:rPr>
      </w:pPr>
      <w:r w:rsidRPr="00F86981">
        <w:rPr>
          <w:i/>
        </w:rPr>
        <w:t>Źródło: Opracowanie własne na podstawie danych FADN</w:t>
      </w:r>
    </w:p>
    <w:p w:rsidR="00786673" w:rsidRPr="00500F76" w:rsidRDefault="00786673" w:rsidP="001E6712">
      <w:pPr>
        <w:jc w:val="both"/>
      </w:pPr>
      <w:r>
        <w:t>Zmiany wartości tego wskaźnika w czasie wskazują na poprawę efektywności ekonomicznej niemal we wszystkich wyróżnionych grupach gospodarstw, szczególnie w gospodarstwach o średniej i małej wielkości ekonomicznej oraz w gospodarstwach roślinnych. Pewien regres nastąpił w gospodarstwach trzodowych, a także w gospodarstwach „dużych” w 2008 roku, co wynikało z kształtowania się relacji cen i kosztów oraz spadku produkcji rolniczej w gospodarstwach ukierunkowanych na chów trzody chlewnej.</w:t>
      </w:r>
    </w:p>
    <w:p w:rsidR="00786673" w:rsidRPr="00E714BF" w:rsidRDefault="00786673" w:rsidP="00E714BF">
      <w:pPr>
        <w:pStyle w:val="Nagwek1"/>
        <w:numPr>
          <w:ilvl w:val="0"/>
          <w:numId w:val="8"/>
        </w:numPr>
        <w:spacing w:before="120" w:after="120"/>
        <w:ind w:left="357" w:hanging="357"/>
        <w:rPr>
          <w:sz w:val="24"/>
          <w:szCs w:val="24"/>
        </w:rPr>
      </w:pPr>
      <w:r w:rsidRPr="00E714BF">
        <w:rPr>
          <w:sz w:val="24"/>
          <w:szCs w:val="24"/>
        </w:rPr>
        <w:t>PODSUMOWANIE</w:t>
      </w:r>
    </w:p>
    <w:p w:rsidR="00786673" w:rsidRDefault="00786673" w:rsidP="001E6712">
      <w:pPr>
        <w:jc w:val="both"/>
      </w:pPr>
      <w:r>
        <w:t>Transformacja ustrojowa zapoczątkowana w 1989 roku oraz akcesja Polski do Unii Europejskiej wywołały znaczące przeobrażenia strukturalne w rolnictwie polskim. W szczególności należy do nich zaliczyć zmiany struktury własnościowej w rolnictwie, w efekcie których niemal w całości ziemia rolnicza znalazła się w użytkowaniu prywatnym, a także sukcesywnie postępujące, wyraźne procesy koncentracji ziemi i zwierząt gospodarskich w gospodarstwach powiększających wielkość ekonomiczną i skalę produkcji. Zauważalne, jakkolwiek wolniejsze były zmiany struktury obszarowej gospodarstw rolniczych w Polsce. Pozostaje ona ciągle rozdrobniona, ze względu na utrzymującą się dużą liczbę gospodarstw najmniejszych obszarowo, mających charakter socjalny i służących głównie samozaopatrzeniu. Następuje mimo to poprawa struktury obszarowej, bowiem coraz więcej ziemi rolniczej przepływa do gospodarstw większych obszarowo,  powiększających potencjał produkcyjny.</w:t>
      </w:r>
    </w:p>
    <w:p w:rsidR="00786673" w:rsidRDefault="00786673" w:rsidP="001E6712">
      <w:pPr>
        <w:jc w:val="both"/>
      </w:pPr>
      <w:r>
        <w:t>Wraz z przemianami strukturalnymi ujawniły się pozytywne trendy zmian w wynikach produkcyjnych i ekonomicznych w polskim rolnictwie, co wykazała analiza przeprowadzona dla okresu 2004-2012, po akcesji do Unii Europejskiej.</w:t>
      </w:r>
    </w:p>
    <w:p w:rsidR="00786673" w:rsidRDefault="00786673" w:rsidP="001E6712">
      <w:pPr>
        <w:jc w:val="both"/>
      </w:pPr>
      <w:r>
        <w:t xml:space="preserve">Pod względem produktywności czynników produkcji i dochodów rolniczych wszystkie analizowane w opracowaniu wskaźniki dotyczące rolnictwa Polski charakteryzuje wyraźny trend wzrostowy i szybkie tempo zmian, wyższe niż w większości krajów członkowskich Unii Europejskiej. Na wystąpienie tych efektów niewątpliwie złożyły się takie czynniki jak </w:t>
      </w:r>
      <w:r w:rsidRPr="00500F76">
        <w:t xml:space="preserve"> systematyczny wzrost </w:t>
      </w:r>
      <w:r>
        <w:t xml:space="preserve">płatności </w:t>
      </w:r>
      <w:r w:rsidRPr="00500F76">
        <w:t xml:space="preserve">bezpośrednich </w:t>
      </w:r>
      <w:r>
        <w:t xml:space="preserve">i ich </w:t>
      </w:r>
      <w:r w:rsidRPr="00500F76">
        <w:t>udziału w dochodach (2,5-3</w:t>
      </w:r>
      <w:r>
        <w:t xml:space="preserve"> razy</w:t>
      </w:r>
      <w:r w:rsidRPr="00500F76">
        <w:t>)</w:t>
      </w:r>
      <w:r>
        <w:t xml:space="preserve">, a także </w:t>
      </w:r>
      <w:r w:rsidRPr="00500F76">
        <w:t xml:space="preserve">wzrost produktywności, </w:t>
      </w:r>
      <w:r>
        <w:t xml:space="preserve">który w znacznym stopniu jest efektem </w:t>
      </w:r>
      <w:r w:rsidRPr="00500F76">
        <w:t>inwestycj</w:t>
      </w:r>
      <w:r>
        <w:t>i</w:t>
      </w:r>
      <w:r w:rsidRPr="00500F76">
        <w:t xml:space="preserve"> modernizacyjn</w:t>
      </w:r>
      <w:r>
        <w:t xml:space="preserve">ych, postępu technicznego i </w:t>
      </w:r>
      <w:r w:rsidRPr="00500F76">
        <w:t>popraw</w:t>
      </w:r>
      <w:r>
        <w:t xml:space="preserve">y </w:t>
      </w:r>
      <w:r w:rsidRPr="00500F76">
        <w:t>jakości</w:t>
      </w:r>
      <w:r>
        <w:t xml:space="preserve"> produktów rolniczych. Należy jednak podkreślić relaty</w:t>
      </w:r>
      <w:r w:rsidRPr="00500F76">
        <w:t>wnie niski</w:t>
      </w:r>
      <w:r>
        <w:t xml:space="preserve"> </w:t>
      </w:r>
      <w:r w:rsidRPr="00500F76">
        <w:t>poziom</w:t>
      </w:r>
      <w:r>
        <w:t xml:space="preserve"> </w:t>
      </w:r>
      <w:r w:rsidRPr="00500F76">
        <w:t>wyjściow</w:t>
      </w:r>
      <w:r>
        <w:t xml:space="preserve">y wielu wskaźników opisujących sektor polskiego rolnictwa, szczególnie w odniesieniu do najbardziej rozwiniętych krajów Unii Europejskiej. Mimo tego, ogólnie, efekty przekształceń strukturalnych w rolnictwie polskim należy uznać za pozytywne, a rolnicy jako grupa zawodowa stali się niekwestionowanymi </w:t>
      </w:r>
      <w:r w:rsidRPr="00500F76">
        <w:t xml:space="preserve">benficjentami akcesji </w:t>
      </w:r>
      <w:r>
        <w:t>do Unii Europejskiej i wspólnej polityki rolnej UE.</w:t>
      </w:r>
    </w:p>
    <w:p w:rsidR="00786673" w:rsidRDefault="00786673" w:rsidP="001E6712">
      <w:pPr>
        <w:jc w:val="both"/>
      </w:pPr>
      <w:r>
        <w:t xml:space="preserve">Pomimo pozytywnych ogólnie trendów, efekty dokonujących się przekształceń rozkładają się nierównomiernie pomiędzy rolników z różnych grup gospodarstw. Bardzo wysoki udział gospodarstw małych obszarowo, o małej wielkości ekonomicznej determinuje niską przeciętnie wydajność pracy w rolnictwie, co osłabia konkurencyjność polskiego rolnictwa w długookresowej perspektywie. </w:t>
      </w:r>
    </w:p>
    <w:p w:rsidR="00786673" w:rsidRPr="001E6712" w:rsidRDefault="00786673" w:rsidP="001E6712">
      <w:pPr>
        <w:jc w:val="both"/>
      </w:pPr>
      <w:r>
        <w:t xml:space="preserve">Stwarza to wyzwania dla polityki rolnej i polityki rozwoju obszarów wiejskich w Polsce. W świetle przedstawionych wyników i trendów określających kształtowanie się wyników produkcyjnych i ekonomicznych wydaje się niezbędne rozstrzygnięcie kwestii przyszłości „małych” gospodarstw i dalszych przeobrażeń w strukturze obszarowej gospodarstw. Wątpliwe i mało zasadne jest, by w długim okresie gospodarstwa te mogły być wspierane ze środków polityki rolnej, która powinna koncentrować się raczej na sterowaniu rozwojem gospodarstw towarowych i na podnoszeniu siły konkurencyjnej polskiego rolnictwa. Do małych, nieżywotnych ekonomicznie w dłuższej perspektywie gospodarstw powinna być adresowana </w:t>
      </w:r>
      <w:r w:rsidRPr="001E6712">
        <w:t>polityka rozwoju obszarów wiejskich i</w:t>
      </w:r>
      <w:r>
        <w:t xml:space="preserve"> wsparcie ukierunkowane na rozwój</w:t>
      </w:r>
      <w:r w:rsidRPr="001E6712">
        <w:t xml:space="preserve"> przedsiębiorczości, służący generowaniu dochodów spoza produkcji rolniczej. </w:t>
      </w:r>
    </w:p>
    <w:p w:rsidR="00786673" w:rsidRPr="00F8164D" w:rsidRDefault="00786673" w:rsidP="00E714BF">
      <w:pPr>
        <w:pStyle w:val="Nagwek1"/>
        <w:spacing w:before="120" w:after="120"/>
        <w:rPr>
          <w:sz w:val="24"/>
          <w:szCs w:val="24"/>
          <w:lang w:val="en-US"/>
        </w:rPr>
      </w:pPr>
      <w:r w:rsidRPr="00F8164D">
        <w:rPr>
          <w:sz w:val="24"/>
          <w:szCs w:val="24"/>
          <w:lang w:val="en-US"/>
        </w:rPr>
        <w:t>BIBLIOGRAFIA</w:t>
      </w:r>
    </w:p>
    <w:p w:rsidR="00786673" w:rsidRPr="00E820A4" w:rsidRDefault="00786673" w:rsidP="00E820A4">
      <w:pPr>
        <w:autoSpaceDE w:val="0"/>
        <w:autoSpaceDN w:val="0"/>
        <w:adjustRightInd w:val="0"/>
        <w:spacing w:before="60" w:after="0" w:line="240" w:lineRule="auto"/>
        <w:jc w:val="both"/>
        <w:rPr>
          <w:lang w:val="en-US"/>
        </w:rPr>
      </w:pPr>
      <w:r w:rsidRPr="00E820A4">
        <w:rPr>
          <w:lang w:val="en-US"/>
        </w:rPr>
        <w:t xml:space="preserve">Coppola A., Scardera A., Tosco D. Economic profitability and long-term viability in Italian </w:t>
      </w:r>
      <w:r>
        <w:rPr>
          <w:lang w:val="en-US"/>
        </w:rPr>
        <w:t>Agriculture;</w:t>
      </w:r>
      <w:r w:rsidRPr="00E820A4">
        <w:rPr>
          <w:lang w:val="en-US"/>
        </w:rPr>
        <w:t xml:space="preserve"> </w:t>
      </w:r>
      <w:r>
        <w:rPr>
          <w:lang w:val="en-US"/>
        </w:rPr>
        <w:t xml:space="preserve">PAGRI/IAP, </w:t>
      </w:r>
      <w:r w:rsidRPr="00F8164D">
        <w:rPr>
          <w:lang w:val="en-US"/>
        </w:rPr>
        <w:t>Politica Agricola Internazionale</w:t>
      </w:r>
      <w:r>
        <w:rPr>
          <w:lang w:val="en-US"/>
        </w:rPr>
        <w:t>; vol.</w:t>
      </w:r>
      <w:r w:rsidRPr="00E820A4">
        <w:rPr>
          <w:lang w:val="en-US"/>
        </w:rPr>
        <w:t xml:space="preserve"> 1; 2012</w:t>
      </w:r>
      <w:r>
        <w:rPr>
          <w:lang w:val="en-US"/>
        </w:rPr>
        <w:t>;</w:t>
      </w:r>
    </w:p>
    <w:p w:rsidR="00786673" w:rsidRDefault="00786673" w:rsidP="00E820A4">
      <w:pPr>
        <w:autoSpaceDE w:val="0"/>
        <w:autoSpaceDN w:val="0"/>
        <w:adjustRightInd w:val="0"/>
        <w:spacing w:before="60" w:after="0" w:line="240" w:lineRule="auto"/>
        <w:jc w:val="both"/>
        <w:rPr>
          <w:lang w:val="en-US"/>
        </w:rPr>
      </w:pPr>
      <w:r w:rsidRPr="00E820A4">
        <w:rPr>
          <w:lang w:val="en-US"/>
        </w:rPr>
        <w:t>European Commission, Directorate-General for Agriculture and Rural Development Directorate L.</w:t>
      </w:r>
      <w:r>
        <w:rPr>
          <w:lang w:val="en-US"/>
        </w:rPr>
        <w:t>;</w:t>
      </w:r>
      <w:r w:rsidRPr="00E820A4">
        <w:rPr>
          <w:lang w:val="en-US"/>
        </w:rPr>
        <w:t xml:space="preserve"> Economic analysis, perspectives and evaluations; Developments in the income situation of the EU agricultural sector</w:t>
      </w:r>
      <w:r>
        <w:rPr>
          <w:lang w:val="en-US"/>
        </w:rPr>
        <w:t>;</w:t>
      </w:r>
      <w:r w:rsidRPr="00E820A4">
        <w:rPr>
          <w:lang w:val="en-US"/>
        </w:rPr>
        <w:t xml:space="preserve"> </w:t>
      </w:r>
      <w:r>
        <w:rPr>
          <w:lang w:val="en-US"/>
        </w:rPr>
        <w:t>Bruksela;</w:t>
      </w:r>
      <w:r w:rsidRPr="00E820A4">
        <w:rPr>
          <w:lang w:val="en-US"/>
        </w:rPr>
        <w:t xml:space="preserve"> December 2010</w:t>
      </w:r>
      <w:r>
        <w:rPr>
          <w:lang w:val="en-US"/>
        </w:rPr>
        <w:t>;</w:t>
      </w:r>
    </w:p>
    <w:p w:rsidR="00786673" w:rsidRPr="0064546E" w:rsidRDefault="00786673" w:rsidP="00E820A4">
      <w:pPr>
        <w:autoSpaceDE w:val="0"/>
        <w:autoSpaceDN w:val="0"/>
        <w:adjustRightInd w:val="0"/>
        <w:spacing w:before="60" w:after="0" w:line="240" w:lineRule="auto"/>
        <w:jc w:val="both"/>
        <w:rPr>
          <w:lang w:val="en-US"/>
        </w:rPr>
      </w:pPr>
      <w:r>
        <w:rPr>
          <w:lang w:val="en-US"/>
        </w:rPr>
        <w:t>European Commission, EU-FADN</w:t>
      </w:r>
      <w:r w:rsidRPr="0064546E">
        <w:rPr>
          <w:lang w:val="en-US"/>
        </w:rPr>
        <w:t>, Farm Economics</w:t>
      </w:r>
      <w:r>
        <w:rPr>
          <w:lang w:val="en-US"/>
        </w:rPr>
        <w:t>;</w:t>
      </w:r>
      <w:r w:rsidRPr="0064546E">
        <w:rPr>
          <w:lang w:val="en-US"/>
        </w:rPr>
        <w:t xml:space="preserve"> brief N°1</w:t>
      </w:r>
      <w:r>
        <w:rPr>
          <w:lang w:val="en-US"/>
        </w:rPr>
        <w:t>;</w:t>
      </w:r>
      <w:r w:rsidRPr="0064546E">
        <w:rPr>
          <w:lang w:val="en-US"/>
        </w:rPr>
        <w:t xml:space="preserve"> Income developments in EU farms</w:t>
      </w:r>
      <w:r>
        <w:rPr>
          <w:lang w:val="en-US"/>
        </w:rPr>
        <w:t>; Bruksela;</w:t>
      </w:r>
      <w:r w:rsidRPr="0064546E">
        <w:rPr>
          <w:lang w:val="en-US"/>
        </w:rPr>
        <w:t xml:space="preserve"> June 2011</w:t>
      </w:r>
      <w:r>
        <w:rPr>
          <w:lang w:val="en-US"/>
        </w:rPr>
        <w:t>;</w:t>
      </w:r>
    </w:p>
    <w:p w:rsidR="00786673" w:rsidRPr="00E820A4" w:rsidRDefault="00786673" w:rsidP="00E820A4">
      <w:pPr>
        <w:autoSpaceDE w:val="0"/>
        <w:autoSpaceDN w:val="0"/>
        <w:adjustRightInd w:val="0"/>
        <w:spacing w:before="60" w:after="0" w:line="240" w:lineRule="auto"/>
        <w:jc w:val="both"/>
      </w:pPr>
      <w:r w:rsidRPr="00E820A4">
        <w:t>Grontkowska A. Znaczenie dopłat (w kreowaniu dochodu) w gospodarstwach najsilniejszych ekonomicznie w Polsce w ujęciu regionalnym; Roczniki Nauk Rolniczych, Seria G, T. 96, z. 3</w:t>
      </w:r>
      <w:r>
        <w:t>;</w:t>
      </w:r>
      <w:r w:rsidRPr="00E820A4">
        <w:t xml:space="preserve"> 2009</w:t>
      </w:r>
      <w:r>
        <w:t>;</w:t>
      </w:r>
    </w:p>
    <w:p w:rsidR="00786673" w:rsidRPr="00E820A4" w:rsidRDefault="00786673" w:rsidP="00E820A4">
      <w:pPr>
        <w:autoSpaceDE w:val="0"/>
        <w:autoSpaceDN w:val="0"/>
        <w:adjustRightInd w:val="0"/>
        <w:spacing w:before="60" w:after="0" w:line="240" w:lineRule="auto"/>
        <w:jc w:val="both"/>
      </w:pPr>
      <w:r w:rsidRPr="00E820A4">
        <w:t>Grzelak A. Sytuacja ekonomiczna gospodarstw rolnych w warunkach zmiany koniunktury gospodarczej (2007-2009); Roczniki Ekonomii Rolnictwa i Rozwoju Obszarów Wiejskich</w:t>
      </w:r>
      <w:r>
        <w:t>, T. 100, z. 1;</w:t>
      </w:r>
      <w:r w:rsidRPr="00E820A4">
        <w:t xml:space="preserve"> 2013</w:t>
      </w:r>
      <w:r>
        <w:t>;</w:t>
      </w:r>
    </w:p>
    <w:p w:rsidR="00786673" w:rsidRPr="00E820A4" w:rsidRDefault="00786673" w:rsidP="00E820A4">
      <w:pPr>
        <w:autoSpaceDE w:val="0"/>
        <w:autoSpaceDN w:val="0"/>
        <w:adjustRightInd w:val="0"/>
        <w:spacing w:before="60" w:after="0" w:line="240" w:lineRule="auto"/>
        <w:jc w:val="both"/>
        <w:rPr>
          <w:lang w:val="en-US"/>
        </w:rPr>
      </w:pPr>
      <w:r w:rsidRPr="00E820A4">
        <w:rPr>
          <w:lang w:val="en-US"/>
        </w:rPr>
        <w:t>Kaditi E. A., Nitsi E.I. Vertical and horizontal decomposition of farm income inequality in Greece</w:t>
      </w:r>
      <w:r>
        <w:rPr>
          <w:lang w:val="en-US"/>
        </w:rPr>
        <w:t>;</w:t>
      </w:r>
      <w:r w:rsidRPr="00E820A4">
        <w:rPr>
          <w:lang w:val="en-US"/>
        </w:rPr>
        <w:t xml:space="preserve"> Agricultural Ec</w:t>
      </w:r>
      <w:r>
        <w:rPr>
          <w:lang w:val="en-US"/>
        </w:rPr>
        <w:t>o</w:t>
      </w:r>
      <w:r w:rsidRPr="00E820A4">
        <w:rPr>
          <w:lang w:val="en-US"/>
        </w:rPr>
        <w:t>nomics Review, Vol 12, s.1-69</w:t>
      </w:r>
      <w:r>
        <w:rPr>
          <w:lang w:val="en-US"/>
        </w:rPr>
        <w:t xml:space="preserve">; </w:t>
      </w:r>
      <w:r w:rsidRPr="00E820A4">
        <w:rPr>
          <w:lang w:val="en-US"/>
        </w:rPr>
        <w:t>2011</w:t>
      </w:r>
      <w:r>
        <w:rPr>
          <w:lang w:val="en-US"/>
        </w:rPr>
        <w:t>;</w:t>
      </w:r>
    </w:p>
    <w:p w:rsidR="00786673" w:rsidRPr="00E820A4" w:rsidRDefault="00786673" w:rsidP="00E820A4">
      <w:pPr>
        <w:autoSpaceDE w:val="0"/>
        <w:autoSpaceDN w:val="0"/>
        <w:adjustRightInd w:val="0"/>
        <w:spacing w:before="60" w:after="0" w:line="240" w:lineRule="auto"/>
        <w:jc w:val="both"/>
        <w:rPr>
          <w:lang w:val="en-US"/>
        </w:rPr>
      </w:pPr>
      <w:r w:rsidRPr="00E820A4">
        <w:rPr>
          <w:lang w:val="en-US"/>
        </w:rPr>
        <w:t xml:space="preserve">Majewski E. Historic landmarks in the development of Agricultural Land Market in </w:t>
      </w:r>
      <w:r>
        <w:rPr>
          <w:lang w:val="en-US"/>
        </w:rPr>
        <w:t>Poland after the year 1989;</w:t>
      </w:r>
      <w:r w:rsidRPr="00E820A4">
        <w:rPr>
          <w:lang w:val="en-US"/>
        </w:rPr>
        <w:t xml:space="preserve"> Abstract, Vol. 2, Nr 1-2, Budapest</w:t>
      </w:r>
      <w:r>
        <w:rPr>
          <w:lang w:val="en-US"/>
        </w:rPr>
        <w:t>;</w:t>
      </w:r>
      <w:r w:rsidRPr="00F8164D">
        <w:rPr>
          <w:lang w:val="en-US"/>
        </w:rPr>
        <w:t xml:space="preserve"> </w:t>
      </w:r>
      <w:r>
        <w:rPr>
          <w:lang w:val="en-US"/>
        </w:rPr>
        <w:t>2008;</w:t>
      </w:r>
    </w:p>
    <w:p w:rsidR="00786673" w:rsidRPr="00E820A4" w:rsidRDefault="00786673" w:rsidP="00E820A4">
      <w:pPr>
        <w:autoSpaceDE w:val="0"/>
        <w:autoSpaceDN w:val="0"/>
        <w:adjustRightInd w:val="0"/>
        <w:spacing w:before="60" w:after="0" w:line="240" w:lineRule="auto"/>
        <w:jc w:val="both"/>
        <w:rPr>
          <w:lang w:val="en-US"/>
        </w:rPr>
      </w:pPr>
      <w:r w:rsidRPr="00E820A4">
        <w:rPr>
          <w:lang w:val="en-US"/>
        </w:rPr>
        <w:t>Mishra A. , El-Osta H., M. Gillespie J. Effect of agricultural policy on regional income inequality among farm households; Journal of Policy Modeling 31; www.sciencedirect.com; s.325–340; 2009;</w:t>
      </w:r>
    </w:p>
    <w:p w:rsidR="00786673" w:rsidRPr="00E820A4" w:rsidRDefault="00786673" w:rsidP="00E820A4">
      <w:pPr>
        <w:autoSpaceDE w:val="0"/>
        <w:autoSpaceDN w:val="0"/>
        <w:adjustRightInd w:val="0"/>
        <w:spacing w:before="60" w:after="0" w:line="240" w:lineRule="auto"/>
        <w:jc w:val="both"/>
        <w:rPr>
          <w:lang w:val="en-US"/>
        </w:rPr>
      </w:pPr>
      <w:r w:rsidRPr="00E820A4">
        <w:rPr>
          <w:lang w:val="en-US"/>
        </w:rPr>
        <w:t>Sahrbacher A. Impacts of CAP reforms on farm structures and performance disparities. An agent-based approach Studies on the Agricultural and Food Secto</w:t>
      </w:r>
      <w:r>
        <w:rPr>
          <w:lang w:val="en-US"/>
        </w:rPr>
        <w:t>r in Central and Eastern Europe; Volume 65 IAMO Halle;</w:t>
      </w:r>
      <w:r w:rsidRPr="00E820A4">
        <w:rPr>
          <w:lang w:val="en-US"/>
        </w:rPr>
        <w:t xml:space="preserve"> 2012</w:t>
      </w:r>
      <w:r>
        <w:rPr>
          <w:lang w:val="en-US"/>
        </w:rPr>
        <w:t>;</w:t>
      </w:r>
    </w:p>
    <w:p w:rsidR="00786673" w:rsidRPr="00E820A4" w:rsidRDefault="00786673" w:rsidP="00E820A4">
      <w:pPr>
        <w:autoSpaceDE w:val="0"/>
        <w:autoSpaceDN w:val="0"/>
        <w:adjustRightInd w:val="0"/>
        <w:spacing w:before="60" w:after="0" w:line="240" w:lineRule="auto"/>
        <w:jc w:val="both"/>
      </w:pPr>
      <w:r w:rsidRPr="00E820A4">
        <w:t>Sass R. Wielkość stada a dochód z zarządzania w gospodarstwach wyspecjalizowanych w chowie bydła mlecznego; Roczniki Nauk Rolniczych, seria g, t. 93, z. 2</w:t>
      </w:r>
      <w:r>
        <w:t>;</w:t>
      </w:r>
      <w:r w:rsidRPr="00E820A4">
        <w:t xml:space="preserve"> 2007; </w:t>
      </w:r>
    </w:p>
    <w:p w:rsidR="00786673" w:rsidRPr="00E820A4" w:rsidRDefault="00786673" w:rsidP="00E820A4">
      <w:pPr>
        <w:autoSpaceDE w:val="0"/>
        <w:autoSpaceDN w:val="0"/>
        <w:adjustRightInd w:val="0"/>
        <w:spacing w:before="60" w:after="0" w:line="240" w:lineRule="auto"/>
        <w:jc w:val="both"/>
        <w:rPr>
          <w:lang w:val="en-US"/>
        </w:rPr>
      </w:pPr>
      <w:r w:rsidRPr="00E820A4">
        <w:rPr>
          <w:lang w:val="en-US"/>
        </w:rPr>
        <w:t xml:space="preserve">Severini S., Tantari A. The effect of the EU farm payments policy and its recent reform on farm income inequality; Journal of Policy Modeling 35; </w:t>
      </w:r>
      <w:hyperlink r:id="rId23" w:history="1">
        <w:r w:rsidRPr="00631FAE">
          <w:rPr>
            <w:rStyle w:val="Hipercze"/>
            <w:lang w:val="en-US"/>
          </w:rPr>
          <w:t>www.sciencedirect.com</w:t>
        </w:r>
      </w:hyperlink>
      <w:r>
        <w:rPr>
          <w:lang w:val="en-US"/>
        </w:rPr>
        <w:t xml:space="preserve">; </w:t>
      </w:r>
      <w:r w:rsidRPr="00E820A4">
        <w:rPr>
          <w:lang w:val="en-US"/>
        </w:rPr>
        <w:t xml:space="preserve">s.212–227; 2013, </w:t>
      </w:r>
    </w:p>
    <w:p w:rsidR="00786673" w:rsidRPr="00E820A4" w:rsidRDefault="00786673" w:rsidP="00E820A4">
      <w:pPr>
        <w:autoSpaceDE w:val="0"/>
        <w:autoSpaceDN w:val="0"/>
        <w:adjustRightInd w:val="0"/>
        <w:spacing w:before="60" w:after="0" w:line="240" w:lineRule="auto"/>
        <w:jc w:val="both"/>
        <w:rPr>
          <w:lang w:val="en-US"/>
        </w:rPr>
      </w:pPr>
      <w:r w:rsidRPr="003D579D">
        <w:t xml:space="preserve">Stankiewicz D., 1998.  Struktura agrarna wsi polskiej i unijnej. </w:t>
      </w:r>
      <w:r w:rsidRPr="00E820A4">
        <w:rPr>
          <w:lang w:val="en-US"/>
        </w:rPr>
        <w:t>BSE nr 565, str. 26</w:t>
      </w:r>
      <w:r>
        <w:rPr>
          <w:lang w:val="en-US"/>
        </w:rPr>
        <w:t xml:space="preserve"> </w:t>
      </w:r>
      <w:r w:rsidRPr="00E820A4">
        <w:rPr>
          <w:lang w:val="en-US"/>
        </w:rPr>
        <w:t>Studies on the Agricultural and Food Sector</w:t>
      </w:r>
    </w:p>
    <w:p w:rsidR="00786673" w:rsidRPr="00F8164D" w:rsidRDefault="00786673" w:rsidP="00E820A4">
      <w:pPr>
        <w:autoSpaceDE w:val="0"/>
        <w:autoSpaceDN w:val="0"/>
        <w:adjustRightInd w:val="0"/>
        <w:spacing w:before="60" w:after="0" w:line="240" w:lineRule="auto"/>
        <w:jc w:val="both"/>
      </w:pPr>
      <w:bookmarkStart w:id="9" w:name="OLE_LINK1"/>
      <w:bookmarkStart w:id="10" w:name="OLE_LINK2"/>
      <w:r w:rsidRPr="00E820A4">
        <w:rPr>
          <w:lang w:val="en-US"/>
        </w:rPr>
        <w:t>Van Asseldonk M.A.P.M</w:t>
      </w:r>
      <w:bookmarkEnd w:id="9"/>
      <w:bookmarkEnd w:id="10"/>
      <w:r w:rsidRPr="00E820A4">
        <w:rPr>
          <w:lang w:val="en-US"/>
        </w:rPr>
        <w:t xml:space="preserve">, Majewski E., Meuwissen M.P.M. Wąs A, Guba W., Dalton G, Landmesser J., Berg E., Huirne R.B.M.; Economic Impact of Prospective Risk Management Instruments Under Alternative Policy Scenarios,  w monografii: Income Stabilization in A Changing Agricultural Word: Policy and tools. </w:t>
      </w:r>
      <w:r w:rsidRPr="00F8164D">
        <w:t>Wieś Jutra,Warszawa; 2008;</w:t>
      </w:r>
    </w:p>
    <w:p w:rsidR="00786673" w:rsidRPr="00E820A4" w:rsidRDefault="00786673" w:rsidP="00E820A4">
      <w:pPr>
        <w:autoSpaceDE w:val="0"/>
        <w:autoSpaceDN w:val="0"/>
        <w:adjustRightInd w:val="0"/>
        <w:spacing w:before="60" w:after="0" w:line="240" w:lineRule="auto"/>
        <w:jc w:val="both"/>
      </w:pPr>
      <w:r w:rsidRPr="00E820A4">
        <w:t>Zawadzka D., Strzelecka A., Analiza dochodów gospodarstw rolnych w Unii Europejskiej; Zeszyty Naukowe Uniwersytetu Szczecińskiego Nr 690; 2012</w:t>
      </w:r>
      <w:r>
        <w:t>;</w:t>
      </w:r>
    </w:p>
    <w:p w:rsidR="00786673" w:rsidRPr="00F8164D" w:rsidRDefault="00786673" w:rsidP="00F8164D">
      <w:pPr>
        <w:autoSpaceDE w:val="0"/>
        <w:autoSpaceDN w:val="0"/>
        <w:adjustRightInd w:val="0"/>
        <w:spacing w:before="60" w:after="0" w:line="240" w:lineRule="auto"/>
        <w:jc w:val="both"/>
      </w:pPr>
      <w:r w:rsidRPr="00F8164D">
        <w:t>Żmija D. System płatności bezpośrednich w Polsce w kontekście rozwiązań stosowanych w Unii Europejskiej; Zeszyty Naukowe SGGW w Warszawie; Problemy Rolnictwa Światowego, t. 11(26), z</w:t>
      </w:r>
      <w:r>
        <w:t>.</w:t>
      </w:r>
      <w:r w:rsidRPr="00F8164D">
        <w:t>1</w:t>
      </w:r>
      <w:r>
        <w:t>,</w:t>
      </w:r>
      <w:r w:rsidRPr="00F8164D">
        <w:t xml:space="preserve"> s. 193-201; 2011.</w:t>
      </w:r>
    </w:p>
    <w:sectPr w:rsidR="00786673" w:rsidRPr="00F8164D" w:rsidSect="00E714BF">
      <w:footerReference w:type="default" r:id="rId24"/>
      <w:pgSz w:w="11906" w:h="16838"/>
      <w:pgMar w:top="1276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673" w:rsidRDefault="00786673">
      <w:r>
        <w:separator/>
      </w:r>
    </w:p>
  </w:endnote>
  <w:endnote w:type="continuationSeparator" w:id="0">
    <w:p w:rsidR="00786673" w:rsidRDefault="007866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673" w:rsidRDefault="00290E27">
    <w:pPr>
      <w:pStyle w:val="Stopka"/>
      <w:jc w:val="right"/>
    </w:pPr>
    <w:fldSimple w:instr="PAGE   \* MERGEFORMAT">
      <w:r w:rsidR="008007B2">
        <w:rPr>
          <w:noProof/>
        </w:rPr>
        <w:t>5</w:t>
      </w:r>
    </w:fldSimple>
  </w:p>
  <w:p w:rsidR="00786673" w:rsidRDefault="0078667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673" w:rsidRDefault="00786673">
      <w:r>
        <w:separator/>
      </w:r>
    </w:p>
  </w:footnote>
  <w:footnote w:type="continuationSeparator" w:id="0">
    <w:p w:rsidR="00786673" w:rsidRDefault="00786673">
      <w:r>
        <w:continuationSeparator/>
      </w:r>
    </w:p>
  </w:footnote>
  <w:footnote w:id="1">
    <w:p w:rsidR="00786673" w:rsidRDefault="00786673" w:rsidP="006C2684">
      <w:pPr>
        <w:pStyle w:val="Tekstprzypisudolnego"/>
        <w:jc w:val="both"/>
      </w:pPr>
      <w:r w:rsidRPr="00493923">
        <w:rPr>
          <w:rStyle w:val="Odwoanieprzypisudolnego"/>
          <w:i/>
          <w:sz w:val="18"/>
        </w:rPr>
        <w:footnoteRef/>
      </w:r>
      <w:r w:rsidRPr="00493923">
        <w:rPr>
          <w:i/>
          <w:sz w:val="18"/>
        </w:rPr>
        <w:t xml:space="preserve"> SO – Standard Output – Standardowa produkcja jest to średnia z 5 lat wartość produkcji określonej działalności rolniczej (roślinnej lub zwierzęcej) uzyskana z 1 ha lub od 1 zwierzęcia w ciągu 1 roku, w przeciętnych dla danego regionu warunkach produkcyjnych. W celu wyeliminowania wahań wartości produkcji (powodowanych np. warunkami pogodowymi czy też zmianami cen produktów) do obliczeń przyjmowane są średnie z 5 lat odpowiedniego okresu, na podstawie uśrednionych danych rocznych z określonego regionu.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A758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0C530244"/>
    <w:multiLevelType w:val="hybridMultilevel"/>
    <w:tmpl w:val="26B661A4"/>
    <w:lvl w:ilvl="0" w:tplc="43B01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506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0408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AC8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AA33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B0C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EC6A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ECAF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B2D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ECF4D5D"/>
    <w:multiLevelType w:val="hybridMultilevel"/>
    <w:tmpl w:val="6094A590"/>
    <w:lvl w:ilvl="0" w:tplc="0EEA73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2C7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824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C49F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E43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8AB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5CB8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4EF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48E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144712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31E9792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38E15623"/>
    <w:multiLevelType w:val="hybridMultilevel"/>
    <w:tmpl w:val="707CB71C"/>
    <w:lvl w:ilvl="0" w:tplc="2D382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2C2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30A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34A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7E1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627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9A8D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D86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0AB3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CF701AB"/>
    <w:multiLevelType w:val="hybridMultilevel"/>
    <w:tmpl w:val="5914D462"/>
    <w:lvl w:ilvl="0" w:tplc="65140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7057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B6B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F2B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6CDE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BA3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C0E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A45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A88C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E8E088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3FA3091F"/>
    <w:multiLevelType w:val="hybridMultilevel"/>
    <w:tmpl w:val="38580ECA"/>
    <w:lvl w:ilvl="0" w:tplc="9CCA9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4E008C">
      <w:start w:val="245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1E05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1C8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A452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C44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4AB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E8A6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5A8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FDC36B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>
    <w:nsid w:val="6D5F1DBA"/>
    <w:multiLevelType w:val="hybridMultilevel"/>
    <w:tmpl w:val="4B28AD56"/>
    <w:lvl w:ilvl="0" w:tplc="3E18A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9433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D47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E68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6A7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50E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E00C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561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3C6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6206F87"/>
    <w:multiLevelType w:val="hybridMultilevel"/>
    <w:tmpl w:val="99A26EEE"/>
    <w:lvl w:ilvl="0" w:tplc="1382A5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92CB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3658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2C3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8C1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2C6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1886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C415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F0D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10"/>
  </w:num>
  <w:num w:numId="5">
    <w:abstractNumId w:val="1"/>
  </w:num>
  <w:num w:numId="6">
    <w:abstractNumId w:val="5"/>
  </w:num>
  <w:num w:numId="7">
    <w:abstractNumId w:val="11"/>
  </w:num>
  <w:num w:numId="8">
    <w:abstractNumId w:val="9"/>
  </w:num>
  <w:num w:numId="9">
    <w:abstractNumId w:val="0"/>
  </w:num>
  <w:num w:numId="10">
    <w:abstractNumId w:val="3"/>
  </w:num>
  <w:num w:numId="11">
    <w:abstractNumId w:val="4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7A6B"/>
    <w:rsid w:val="00020151"/>
    <w:rsid w:val="00046DCC"/>
    <w:rsid w:val="00046ED7"/>
    <w:rsid w:val="00054A3A"/>
    <w:rsid w:val="000924E1"/>
    <w:rsid w:val="000B4DC4"/>
    <w:rsid w:val="000F2541"/>
    <w:rsid w:val="000F63F0"/>
    <w:rsid w:val="00116919"/>
    <w:rsid w:val="00117A5C"/>
    <w:rsid w:val="001563BC"/>
    <w:rsid w:val="0016582B"/>
    <w:rsid w:val="001957D8"/>
    <w:rsid w:val="001C6641"/>
    <w:rsid w:val="001E163E"/>
    <w:rsid w:val="001E6712"/>
    <w:rsid w:val="00200ABD"/>
    <w:rsid w:val="002125E5"/>
    <w:rsid w:val="00224778"/>
    <w:rsid w:val="002270F6"/>
    <w:rsid w:val="002418B3"/>
    <w:rsid w:val="002632DB"/>
    <w:rsid w:val="00290E27"/>
    <w:rsid w:val="002A7EC3"/>
    <w:rsid w:val="002B7565"/>
    <w:rsid w:val="002B7A6B"/>
    <w:rsid w:val="002C169B"/>
    <w:rsid w:val="00323686"/>
    <w:rsid w:val="00325F9E"/>
    <w:rsid w:val="0033240E"/>
    <w:rsid w:val="00334496"/>
    <w:rsid w:val="00337C5A"/>
    <w:rsid w:val="00345491"/>
    <w:rsid w:val="003549F4"/>
    <w:rsid w:val="003A6E60"/>
    <w:rsid w:val="003B4AA8"/>
    <w:rsid w:val="003D579D"/>
    <w:rsid w:val="003F6B41"/>
    <w:rsid w:val="00413AC7"/>
    <w:rsid w:val="0048022D"/>
    <w:rsid w:val="00483111"/>
    <w:rsid w:val="00493923"/>
    <w:rsid w:val="004A4399"/>
    <w:rsid w:val="004B3D23"/>
    <w:rsid w:val="004B4114"/>
    <w:rsid w:val="004C6AE4"/>
    <w:rsid w:val="004D4992"/>
    <w:rsid w:val="004F414A"/>
    <w:rsid w:val="00500F76"/>
    <w:rsid w:val="0051132A"/>
    <w:rsid w:val="00512DA0"/>
    <w:rsid w:val="00512FDD"/>
    <w:rsid w:val="00521786"/>
    <w:rsid w:val="00574225"/>
    <w:rsid w:val="005842C6"/>
    <w:rsid w:val="005B6158"/>
    <w:rsid w:val="005D6F13"/>
    <w:rsid w:val="00630481"/>
    <w:rsid w:val="00631FAE"/>
    <w:rsid w:val="006370BB"/>
    <w:rsid w:val="0064546E"/>
    <w:rsid w:val="00661EAF"/>
    <w:rsid w:val="00670DEA"/>
    <w:rsid w:val="006925B8"/>
    <w:rsid w:val="006A6795"/>
    <w:rsid w:val="006B7F1D"/>
    <w:rsid w:val="006C2684"/>
    <w:rsid w:val="006E75A3"/>
    <w:rsid w:val="007138C8"/>
    <w:rsid w:val="00786673"/>
    <w:rsid w:val="007874A9"/>
    <w:rsid w:val="00796C45"/>
    <w:rsid w:val="007A22AE"/>
    <w:rsid w:val="007C4120"/>
    <w:rsid w:val="007C4B83"/>
    <w:rsid w:val="007D0406"/>
    <w:rsid w:val="007D5F92"/>
    <w:rsid w:val="007E49C5"/>
    <w:rsid w:val="007F005A"/>
    <w:rsid w:val="008007B2"/>
    <w:rsid w:val="00815372"/>
    <w:rsid w:val="00835327"/>
    <w:rsid w:val="00836AA6"/>
    <w:rsid w:val="00882DA4"/>
    <w:rsid w:val="00890C7F"/>
    <w:rsid w:val="008972E9"/>
    <w:rsid w:val="008A053A"/>
    <w:rsid w:val="008A4A1E"/>
    <w:rsid w:val="008E2292"/>
    <w:rsid w:val="009032AE"/>
    <w:rsid w:val="009165F6"/>
    <w:rsid w:val="0092267D"/>
    <w:rsid w:val="00941901"/>
    <w:rsid w:val="0095512B"/>
    <w:rsid w:val="00957993"/>
    <w:rsid w:val="009A0E7C"/>
    <w:rsid w:val="009E0F7C"/>
    <w:rsid w:val="00A045D9"/>
    <w:rsid w:val="00A05993"/>
    <w:rsid w:val="00A1596F"/>
    <w:rsid w:val="00A405C8"/>
    <w:rsid w:val="00A54289"/>
    <w:rsid w:val="00A7247D"/>
    <w:rsid w:val="00A84882"/>
    <w:rsid w:val="00AC5BBF"/>
    <w:rsid w:val="00AD50A2"/>
    <w:rsid w:val="00AD5908"/>
    <w:rsid w:val="00B12507"/>
    <w:rsid w:val="00B178B8"/>
    <w:rsid w:val="00B54A8C"/>
    <w:rsid w:val="00B65CB5"/>
    <w:rsid w:val="00BB6D6E"/>
    <w:rsid w:val="00BB79AD"/>
    <w:rsid w:val="00BC1252"/>
    <w:rsid w:val="00BC3E76"/>
    <w:rsid w:val="00C16DA3"/>
    <w:rsid w:val="00C25FA7"/>
    <w:rsid w:val="00C31BAF"/>
    <w:rsid w:val="00C36601"/>
    <w:rsid w:val="00C471B6"/>
    <w:rsid w:val="00C54EF7"/>
    <w:rsid w:val="00C7361A"/>
    <w:rsid w:val="00C82DBD"/>
    <w:rsid w:val="00CA7C50"/>
    <w:rsid w:val="00CB37C0"/>
    <w:rsid w:val="00CB5FDC"/>
    <w:rsid w:val="00CC34E4"/>
    <w:rsid w:val="00CC53F4"/>
    <w:rsid w:val="00CF375E"/>
    <w:rsid w:val="00D21B7E"/>
    <w:rsid w:val="00D26DE3"/>
    <w:rsid w:val="00D62581"/>
    <w:rsid w:val="00D67B35"/>
    <w:rsid w:val="00D860BC"/>
    <w:rsid w:val="00DA523F"/>
    <w:rsid w:val="00DC10B8"/>
    <w:rsid w:val="00DE5EB9"/>
    <w:rsid w:val="00E17380"/>
    <w:rsid w:val="00E4496D"/>
    <w:rsid w:val="00E51ECB"/>
    <w:rsid w:val="00E714BF"/>
    <w:rsid w:val="00E72EC8"/>
    <w:rsid w:val="00E81F14"/>
    <w:rsid w:val="00E820A4"/>
    <w:rsid w:val="00E92A8C"/>
    <w:rsid w:val="00EF6A95"/>
    <w:rsid w:val="00F10BED"/>
    <w:rsid w:val="00F32A89"/>
    <w:rsid w:val="00F8164D"/>
    <w:rsid w:val="00F86981"/>
    <w:rsid w:val="00F969C4"/>
    <w:rsid w:val="00FA21CD"/>
    <w:rsid w:val="00FB3C6D"/>
    <w:rsid w:val="00FB4E08"/>
    <w:rsid w:val="00FC41F9"/>
    <w:rsid w:val="00FF6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8B3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CC34E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C34E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CC34E4"/>
    <w:rPr>
      <w:rFonts w:ascii="Cambria" w:hAnsi="Cambria"/>
      <w:b/>
      <w:color w:val="365F91"/>
      <w:sz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CC34E4"/>
    <w:rPr>
      <w:rFonts w:ascii="Cambria" w:hAnsi="Cambria"/>
      <w:b/>
      <w:color w:val="4F81BD"/>
      <w:sz w:val="26"/>
    </w:rPr>
  </w:style>
  <w:style w:type="table" w:styleId="Tabela-Siatka">
    <w:name w:val="Table Grid"/>
    <w:basedOn w:val="Standardowy"/>
    <w:uiPriority w:val="99"/>
    <w:rsid w:val="00836AA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rsid w:val="00836AA6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36AA6"/>
    <w:rPr>
      <w:rFonts w:ascii="Tahoma" w:hAnsi="Tahoma"/>
      <w:sz w:val="16"/>
    </w:rPr>
  </w:style>
  <w:style w:type="paragraph" w:styleId="NormalnyWeb">
    <w:name w:val="Normal (Web)"/>
    <w:basedOn w:val="Normalny"/>
    <w:uiPriority w:val="99"/>
    <w:rsid w:val="002C16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uiPriority w:val="99"/>
    <w:qFormat/>
    <w:rsid w:val="00CC34E4"/>
    <w:pPr>
      <w:spacing w:line="240" w:lineRule="auto"/>
    </w:pPr>
    <w:rPr>
      <w:b/>
      <w:bCs/>
      <w:color w:val="000000"/>
      <w:sz w:val="24"/>
      <w:szCs w:val="18"/>
    </w:rPr>
  </w:style>
  <w:style w:type="paragraph" w:styleId="Akapitzlist">
    <w:name w:val="List Paragraph"/>
    <w:basedOn w:val="Normalny"/>
    <w:qFormat/>
    <w:rsid w:val="0002015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CC53F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290E27"/>
    <w:rPr>
      <w:sz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CC53F4"/>
    <w:rPr>
      <w:rFonts w:cs="Times New Roman"/>
      <w:vertAlign w:val="superscript"/>
    </w:rPr>
  </w:style>
  <w:style w:type="character" w:styleId="Pogrubienie">
    <w:name w:val="Strong"/>
    <w:basedOn w:val="Domylnaczcionkaakapitu"/>
    <w:uiPriority w:val="99"/>
    <w:qFormat/>
    <w:locked/>
    <w:rsid w:val="00CC53F4"/>
    <w:rPr>
      <w:rFonts w:cs="Times New Roman"/>
      <w:b/>
    </w:rPr>
  </w:style>
  <w:style w:type="paragraph" w:styleId="Nagwek">
    <w:name w:val="header"/>
    <w:basedOn w:val="Normalny"/>
    <w:link w:val="NagwekZnak"/>
    <w:uiPriority w:val="99"/>
    <w:rsid w:val="00F32A89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F32A89"/>
    <w:rPr>
      <w:lang w:eastAsia="en-US"/>
    </w:rPr>
  </w:style>
  <w:style w:type="paragraph" w:styleId="Stopka">
    <w:name w:val="footer"/>
    <w:basedOn w:val="Normalny"/>
    <w:link w:val="StopkaZnak"/>
    <w:uiPriority w:val="99"/>
    <w:rsid w:val="00F32A89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F32A89"/>
    <w:rPr>
      <w:lang w:eastAsia="en-US"/>
    </w:rPr>
  </w:style>
  <w:style w:type="paragraph" w:styleId="Cytat">
    <w:name w:val="Quote"/>
    <w:basedOn w:val="Normalny"/>
    <w:next w:val="Normalny"/>
    <w:link w:val="CytatZnak"/>
    <w:uiPriority w:val="99"/>
    <w:qFormat/>
    <w:rsid w:val="00670DEA"/>
    <w:rPr>
      <w:i/>
      <w:iCs/>
      <w:color w:val="000000"/>
    </w:rPr>
  </w:style>
  <w:style w:type="character" w:customStyle="1" w:styleId="CytatZnak">
    <w:name w:val="Cytat Znak"/>
    <w:basedOn w:val="Domylnaczcionkaakapitu"/>
    <w:link w:val="Cytat"/>
    <w:uiPriority w:val="99"/>
    <w:locked/>
    <w:rsid w:val="00670DEA"/>
    <w:rPr>
      <w:rFonts w:cs="Times New Roman"/>
      <w:i/>
      <w:iCs/>
      <w:color w:val="000000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F414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F414A"/>
    <w:rPr>
      <w:rFonts w:cs="Times New Roman"/>
      <w:lang w:eastAsia="en-US"/>
    </w:rPr>
  </w:style>
  <w:style w:type="character" w:styleId="Odwoanieprzypisudolnego">
    <w:name w:val="footnote reference"/>
    <w:basedOn w:val="Domylnaczcionkaakapitu"/>
    <w:uiPriority w:val="99"/>
    <w:semiHidden/>
    <w:rsid w:val="004F414A"/>
    <w:rPr>
      <w:rFonts w:cs="Times New Roman"/>
      <w:vertAlign w:val="superscript"/>
    </w:rPr>
  </w:style>
  <w:style w:type="character" w:styleId="Hipercze">
    <w:name w:val="Hyperlink"/>
    <w:basedOn w:val="Domylnaczcionkaakapitu"/>
    <w:uiPriority w:val="99"/>
    <w:rsid w:val="00F8164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058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58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83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83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83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83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58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58319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832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8326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833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58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583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83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58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583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8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58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583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83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83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58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CFBD58.7439F200" TargetMode="Externa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hart" Target="charts/chart9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chart" Target="charts/chart5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hyperlink" Target="http://www.sciencedirect.com" TargetMode="External"/><Relationship Id="rId10" Type="http://schemas.openxmlformats.org/officeDocument/2006/relationships/image" Target="media/image3.jpeg"/><Relationship Id="rId19" Type="http://schemas.openxmlformats.org/officeDocument/2006/relationships/chart" Target="charts/chart7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Zeszyt2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4.xlsx"/><Relationship Id="rId1" Type="http://schemas.openxmlformats.org/officeDocument/2006/relationships/themeOverride" Target="../theme/themeOverride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orys\Desktop\aact_eaa03_EAAE_constant_prices.xls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orys\Desktop\aact_eaa03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orys\Desktop\aact_eaa03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1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2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orys\Desktop\Zeszyt1.xlsx" TargetMode="External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orys\Desktop\Zeszyt1.xlsx" TargetMode="External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3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128896371656285"/>
          <c:y val="6.3817381593146413E-2"/>
          <c:w val="0.83860595766114576"/>
          <c:h val="0.66575403278181833"/>
        </c:manualLayout>
      </c:layout>
      <c:lineChart>
        <c:grouping val="stacked"/>
        <c:ser>
          <c:idx val="0"/>
          <c:order val="0"/>
          <c:spPr>
            <a:ln w="38100">
              <a:solidFill>
                <a:srgbClr val="007434"/>
              </a:solidFill>
            </a:ln>
          </c:spPr>
          <c:marker>
            <c:symbol val="none"/>
          </c:marker>
          <c:cat>
            <c:strRef>
              <c:f>Arkusz1!$A$4:$A$24</c:f>
              <c:strCache>
                <c:ptCount val="21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  <c:pt idx="18">
                  <c:v>2013</c:v>
                </c:pt>
                <c:pt idx="19">
                  <c:v>I kw. 2014</c:v>
                </c:pt>
                <c:pt idx="20">
                  <c:v>II kw. 2014</c:v>
                </c:pt>
              </c:strCache>
            </c:strRef>
          </c:cat>
          <c:val>
            <c:numRef>
              <c:f>Arkusz1!$B$4:$B$24</c:f>
              <c:numCache>
                <c:formatCode>General</c:formatCode>
                <c:ptCount val="21"/>
                <c:pt idx="0">
                  <c:v>1419</c:v>
                </c:pt>
                <c:pt idx="1">
                  <c:v>1874</c:v>
                </c:pt>
                <c:pt idx="2">
                  <c:v>2444</c:v>
                </c:pt>
                <c:pt idx="3">
                  <c:v>3048</c:v>
                </c:pt>
                <c:pt idx="4">
                  <c:v>3684</c:v>
                </c:pt>
                <c:pt idx="5">
                  <c:v>3554</c:v>
                </c:pt>
                <c:pt idx="6">
                  <c:v>3414</c:v>
                </c:pt>
                <c:pt idx="7">
                  <c:v>3438</c:v>
                </c:pt>
                <c:pt idx="8">
                  <c:v>3763</c:v>
                </c:pt>
                <c:pt idx="9">
                  <c:v>4682</c:v>
                </c:pt>
                <c:pt idx="10">
                  <c:v>5607</c:v>
                </c:pt>
                <c:pt idx="11">
                  <c:v>7374</c:v>
                </c:pt>
                <c:pt idx="12">
                  <c:v>9773</c:v>
                </c:pt>
                <c:pt idx="13">
                  <c:v>12540</c:v>
                </c:pt>
                <c:pt idx="14">
                  <c:v>14932</c:v>
                </c:pt>
                <c:pt idx="15">
                  <c:v>15281</c:v>
                </c:pt>
                <c:pt idx="16">
                  <c:v>17165</c:v>
                </c:pt>
                <c:pt idx="17">
                  <c:v>19288</c:v>
                </c:pt>
                <c:pt idx="18">
                  <c:v>21813</c:v>
                </c:pt>
                <c:pt idx="19">
                  <c:v>24166</c:v>
                </c:pt>
                <c:pt idx="20">
                  <c:v>23589</c:v>
                </c:pt>
              </c:numCache>
            </c:numRef>
          </c:val>
        </c:ser>
        <c:marker val="1"/>
        <c:axId val="246280192"/>
        <c:axId val="246282112"/>
      </c:lineChart>
      <c:catAx>
        <c:axId val="24628019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00" b="0">
                    <a:latin typeface="+mn-lt"/>
                    <a:cs typeface="Times New Roman" pitchFamily="18" charset="0"/>
                  </a:defRPr>
                </a:pPr>
                <a:r>
                  <a:rPr lang="en-US" sz="1000" b="0">
                    <a:latin typeface="+mn-lt"/>
                    <a:cs typeface="Times New Roman" pitchFamily="18" charset="0"/>
                  </a:rPr>
                  <a:t>L</a:t>
                </a:r>
                <a:r>
                  <a:rPr lang="pl-PL" sz="1000" b="0">
                    <a:latin typeface="+mn-lt"/>
                    <a:cs typeface="Times New Roman" pitchFamily="18" charset="0"/>
                  </a:rPr>
                  <a:t>ata</a:t>
                </a:r>
                <a:endParaRPr lang="en-US" sz="1000" b="0">
                  <a:latin typeface="+mn-lt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3.8963743087069583E-2"/>
              <c:y val="0.77409654096992941"/>
            </c:manualLayout>
          </c:layout>
        </c:title>
        <c:tickLblPos val="nextTo"/>
        <c:txPr>
          <a:bodyPr rot="-2700000" vert="horz"/>
          <a:lstStyle/>
          <a:p>
            <a:pPr>
              <a:defRPr sz="1000">
                <a:latin typeface="+mn-lt"/>
                <a:cs typeface="Times New Roman" pitchFamily="18" charset="0"/>
              </a:defRPr>
            </a:pPr>
            <a:endParaRPr lang="pl-PL"/>
          </a:p>
        </c:txPr>
        <c:crossAx val="246282112"/>
        <c:crosses val="autoZero"/>
        <c:auto val="1"/>
        <c:lblAlgn val="ctr"/>
        <c:lblOffset val="100"/>
      </c:catAx>
      <c:valAx>
        <c:axId val="24628211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>
                    <a:latin typeface="+mn-lt"/>
                    <a:cs typeface="Times New Roman" pitchFamily="18" charset="0"/>
                  </a:defRPr>
                </a:pPr>
                <a:r>
                  <a:rPr lang="en-US" sz="1200" b="0">
                    <a:latin typeface="+mn-lt"/>
                    <a:cs typeface="Times New Roman" pitchFamily="18" charset="0"/>
                  </a:rPr>
                  <a:t>C</a:t>
                </a:r>
                <a:r>
                  <a:rPr lang="pl-PL" sz="1200" b="0">
                    <a:latin typeface="+mn-lt"/>
                    <a:cs typeface="Times New Roman" pitchFamily="18" charset="0"/>
                  </a:rPr>
                  <a:t>ena</a:t>
                </a:r>
                <a:r>
                  <a:rPr lang="pl-PL" sz="1200" b="0" baseline="0">
                    <a:latin typeface="+mn-lt"/>
                    <a:cs typeface="Times New Roman" pitchFamily="18" charset="0"/>
                  </a:rPr>
                  <a:t> ziemi</a:t>
                </a:r>
                <a:r>
                  <a:rPr lang="en-US" sz="1200" b="0">
                    <a:latin typeface="+mn-lt"/>
                    <a:cs typeface="Times New Roman" pitchFamily="18" charset="0"/>
                  </a:rPr>
                  <a:t> (</a:t>
                </a:r>
                <a:r>
                  <a:rPr lang="pl-PL" sz="1200" b="0">
                    <a:latin typeface="+mn-lt"/>
                    <a:cs typeface="Times New Roman" pitchFamily="18" charset="0"/>
                  </a:rPr>
                  <a:t>zł/ha</a:t>
                </a:r>
                <a:r>
                  <a:rPr lang="en-US" sz="1200" b="0">
                    <a:latin typeface="+mn-lt"/>
                    <a:cs typeface="Times New Roman" pitchFamily="18" charset="0"/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8.8157023624520544E-3"/>
              <c:y val="0.16690249801464321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1100">
                <a:latin typeface="Calibri" panose="020F0502020204030204" pitchFamily="34" charset="0"/>
                <a:cs typeface="Times New Roman" pitchFamily="18" charset="0"/>
              </a:defRPr>
            </a:pPr>
            <a:endParaRPr lang="pl-PL"/>
          </a:p>
        </c:txPr>
        <c:crossAx val="246280192"/>
        <c:crosses val="autoZero"/>
        <c:crossBetween val="between"/>
      </c:valAx>
    </c:plotArea>
    <c:plotVisOnly val="1"/>
    <c:dispBlanksAs val="zero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plotArea>
      <c:layout>
        <c:manualLayout>
          <c:layoutTarget val="inner"/>
          <c:xMode val="edge"/>
          <c:yMode val="edge"/>
          <c:x val="0.12978898464459546"/>
          <c:y val="4.3494084836238241E-2"/>
          <c:w val="0.84660395446152403"/>
          <c:h val="0.77029942445535182"/>
        </c:manualLayout>
      </c:layout>
      <c:barChart>
        <c:barDir val="col"/>
        <c:grouping val="clustered"/>
        <c:ser>
          <c:idx val="0"/>
          <c:order val="0"/>
          <c:tx>
            <c:strRef>
              <c:f>EFEKTYWNOŚĆ!$E$1</c:f>
              <c:strCache>
                <c:ptCount val="1"/>
                <c:pt idx="0">
                  <c:v>ROŚLINNE</c:v>
                </c:pt>
              </c:strCache>
            </c:strRef>
          </c:tx>
          <c:spPr>
            <a:solidFill>
              <a:srgbClr val="CC3300"/>
            </a:solidFill>
          </c:spPr>
          <c:cat>
            <c:numRef>
              <c:f>EFEKTYWNOŚĆ!$A$2:$A$10</c:f>
              <c:numCache>
                <c:formatCode>General</c:formatCode>
                <c:ptCount val="3"/>
                <c:pt idx="0">
                  <c:v>2004</c:v>
                </c:pt>
                <c:pt idx="1">
                  <c:v>2008</c:v>
                </c:pt>
                <c:pt idx="2">
                  <c:v>2012</c:v>
                </c:pt>
              </c:numCache>
            </c:numRef>
          </c:cat>
          <c:val>
            <c:numRef>
              <c:f>EFEKTYWNOŚĆ!$E$2:$E$10</c:f>
              <c:numCache>
                <c:formatCode>General</c:formatCode>
                <c:ptCount val="3"/>
                <c:pt idx="0">
                  <c:v>0.33389804443574495</c:v>
                </c:pt>
                <c:pt idx="1">
                  <c:v>0.3749528653925337</c:v>
                </c:pt>
                <c:pt idx="2">
                  <c:v>0.52964409859051476</c:v>
                </c:pt>
              </c:numCache>
            </c:numRef>
          </c:val>
        </c:ser>
        <c:ser>
          <c:idx val="1"/>
          <c:order val="1"/>
          <c:tx>
            <c:strRef>
              <c:f>EFEKTYWNOŚĆ!$F$1</c:f>
              <c:strCache>
                <c:ptCount val="1"/>
                <c:pt idx="0">
                  <c:v>BYDLĘCE</c:v>
                </c:pt>
              </c:strCache>
            </c:strRef>
          </c:tx>
          <c:spPr>
            <a:solidFill>
              <a:srgbClr val="92D050"/>
            </a:solidFill>
          </c:spPr>
          <c:cat>
            <c:numRef>
              <c:f>EFEKTYWNOŚĆ!$A$2:$A$10</c:f>
              <c:numCache>
                <c:formatCode>General</c:formatCode>
                <c:ptCount val="3"/>
                <c:pt idx="0">
                  <c:v>2004</c:v>
                </c:pt>
                <c:pt idx="1">
                  <c:v>2008</c:v>
                </c:pt>
                <c:pt idx="2">
                  <c:v>2012</c:v>
                </c:pt>
              </c:numCache>
            </c:numRef>
          </c:cat>
          <c:val>
            <c:numRef>
              <c:f>EFEKTYWNOŚĆ!$F$2:$F$10</c:f>
              <c:numCache>
                <c:formatCode>General</c:formatCode>
                <c:ptCount val="3"/>
                <c:pt idx="0">
                  <c:v>0.473450274689526</c:v>
                </c:pt>
                <c:pt idx="1">
                  <c:v>0.47653577443972372</c:v>
                </c:pt>
                <c:pt idx="2">
                  <c:v>0.47479499590708796</c:v>
                </c:pt>
              </c:numCache>
            </c:numRef>
          </c:val>
        </c:ser>
        <c:ser>
          <c:idx val="2"/>
          <c:order val="2"/>
          <c:tx>
            <c:strRef>
              <c:f>EFEKTYWNOŚĆ!$G$1</c:f>
              <c:strCache>
                <c:ptCount val="1"/>
                <c:pt idx="0">
                  <c:v>TRZODOWE</c:v>
                </c:pt>
              </c:strCache>
            </c:strRef>
          </c:tx>
          <c:spPr>
            <a:solidFill>
              <a:srgbClr val="FFC000"/>
            </a:solidFill>
          </c:spPr>
          <c:cat>
            <c:numRef>
              <c:f>EFEKTYWNOŚĆ!$A$2:$A$10</c:f>
              <c:numCache>
                <c:formatCode>General</c:formatCode>
                <c:ptCount val="3"/>
                <c:pt idx="0">
                  <c:v>2004</c:v>
                </c:pt>
                <c:pt idx="1">
                  <c:v>2008</c:v>
                </c:pt>
                <c:pt idx="2">
                  <c:v>2012</c:v>
                </c:pt>
              </c:numCache>
            </c:numRef>
          </c:cat>
          <c:val>
            <c:numRef>
              <c:f>EFEKTYWNOŚĆ!$G$2:$G$10</c:f>
              <c:numCache>
                <c:formatCode>General</c:formatCode>
                <c:ptCount val="3"/>
                <c:pt idx="0">
                  <c:v>0.34856943553484143</c:v>
                </c:pt>
                <c:pt idx="1">
                  <c:v>0.27535318858281327</c:v>
                </c:pt>
                <c:pt idx="2">
                  <c:v>0.32446155144101868</c:v>
                </c:pt>
              </c:numCache>
            </c:numRef>
          </c:val>
        </c:ser>
        <c:ser>
          <c:idx val="4"/>
          <c:order val="3"/>
          <c:tx>
            <c:strRef>
              <c:f>EFEKTYWNOŚĆ!$H$1</c:f>
              <c:strCache>
                <c:ptCount val="1"/>
                <c:pt idx="0">
                  <c:v>DROBIOWE</c:v>
                </c:pt>
              </c:strCache>
            </c:strRef>
          </c:tx>
          <c:spPr>
            <a:solidFill>
              <a:srgbClr val="FFC000"/>
            </a:solidFill>
          </c:spPr>
          <c:val>
            <c:numRef>
              <c:f>EFEKTYWNOŚĆ!$H$2:$H$10</c:f>
            </c:numRef>
          </c:val>
        </c:ser>
        <c:ser>
          <c:idx val="3"/>
          <c:order val="4"/>
          <c:tx>
            <c:strRef>
              <c:f>EFEKTYWNOŚĆ!$I$1</c:f>
              <c:strCache>
                <c:ptCount val="1"/>
                <c:pt idx="0">
                  <c:v>MIESZANE</c:v>
                </c:pt>
              </c:strCache>
            </c:strRef>
          </c:tx>
          <c:spPr>
            <a:solidFill>
              <a:srgbClr val="0070C0"/>
            </a:solidFill>
          </c:spPr>
          <c:cat>
            <c:numRef>
              <c:f>EFEKTYWNOŚĆ!$A$2:$A$10</c:f>
              <c:numCache>
                <c:formatCode>General</c:formatCode>
                <c:ptCount val="3"/>
                <c:pt idx="0">
                  <c:v>2004</c:v>
                </c:pt>
                <c:pt idx="1">
                  <c:v>2008</c:v>
                </c:pt>
                <c:pt idx="2">
                  <c:v>2012</c:v>
                </c:pt>
              </c:numCache>
            </c:numRef>
          </c:cat>
          <c:val>
            <c:numRef>
              <c:f>EFEKTYWNOŚĆ!$I$2:$I$10</c:f>
              <c:numCache>
                <c:formatCode>General</c:formatCode>
                <c:ptCount val="3"/>
                <c:pt idx="0">
                  <c:v>0.30954840246980053</c:v>
                </c:pt>
                <c:pt idx="1">
                  <c:v>0.31731583515602541</c:v>
                </c:pt>
                <c:pt idx="2">
                  <c:v>0.38431451498190661</c:v>
                </c:pt>
              </c:numCache>
            </c:numRef>
          </c:val>
        </c:ser>
        <c:axId val="230781312"/>
        <c:axId val="230783616"/>
      </c:barChart>
      <c:catAx>
        <c:axId val="23078131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t>Lata</a:t>
                </a:r>
              </a:p>
            </c:rich>
          </c:tx>
          <c:layout>
            <c:manualLayout>
              <c:xMode val="edge"/>
              <c:yMode val="edge"/>
              <c:x val="1.9453214483455269E-2"/>
              <c:y val="0.83212070558219331"/>
            </c:manualLayout>
          </c:layout>
          <c:spPr>
            <a:noFill/>
            <a:ln w="25376">
              <a:noFill/>
            </a:ln>
          </c:spPr>
        </c:title>
        <c:numFmt formatCode="General" sourceLinked="1"/>
        <c:tickLblPos val="nextTo"/>
        <c:crossAx val="230783616"/>
        <c:crosses val="autoZero"/>
        <c:auto val="1"/>
        <c:lblAlgn val="ctr"/>
        <c:lblOffset val="100"/>
      </c:catAx>
      <c:valAx>
        <c:axId val="230783616"/>
        <c:scaling>
          <c:orientation val="minMax"/>
          <c:min val="0.2"/>
        </c:scaling>
        <c:axPos val="l"/>
        <c:majorGridlines/>
        <c:title>
          <c:tx>
            <c:rich>
              <a:bodyPr/>
              <a:lstStyle/>
              <a:p>
                <a:pPr>
                  <a:defRPr sz="10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t>dochód/koszt</a:t>
                </a:r>
              </a:p>
            </c:rich>
          </c:tx>
          <c:spPr>
            <a:noFill/>
            <a:ln w="25376">
              <a:noFill/>
            </a:ln>
          </c:spPr>
        </c:title>
        <c:numFmt formatCode="General" sourceLinked="1"/>
        <c:tickLblPos val="nextTo"/>
        <c:crossAx val="230781312"/>
        <c:crosses val="autoZero"/>
        <c:crossBetween val="between"/>
      </c:valAx>
      <c:spPr>
        <a:noFill/>
        <a:ln w="25376">
          <a:noFill/>
        </a:ln>
      </c:spPr>
    </c:plotArea>
    <c:legend>
      <c:legendPos val="r"/>
      <c:layout>
        <c:manualLayout>
          <c:xMode val="edge"/>
          <c:yMode val="edge"/>
          <c:x val="0.10040160642570282"/>
          <c:y val="0.8993055555555558"/>
          <c:w val="0.79317269076305219"/>
          <c:h val="6.9444444444444475E-2"/>
        </c:manualLayout>
      </c:layout>
    </c:legend>
    <c:plotVisOnly val="1"/>
    <c:dispBlanksAs val="gap"/>
  </c:chart>
  <c:txPr>
    <a:bodyPr/>
    <a:lstStyle/>
    <a:p>
      <a:pPr>
        <a:defRPr sz="1099">
          <a:latin typeface="+mn-lt"/>
          <a:cs typeface="Times New Roman" panose="02020603050405020304" pitchFamily="18" charset="0"/>
        </a:defRPr>
      </a:pPr>
      <a:endParaRPr lang="pl-PL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l-PL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538448901040883"/>
          <c:y val="7.9730845369244296E-2"/>
          <c:w val="0.71010977474274173"/>
          <c:h val="0.69472871742096065"/>
        </c:manualLayout>
      </c:layout>
      <c:lineChart>
        <c:grouping val="standard"/>
        <c:ser>
          <c:idx val="1"/>
          <c:order val="1"/>
          <c:tx>
            <c:strRef>
              <c:f>Data!$B$126</c:f>
              <c:strCache>
                <c:ptCount val="1"/>
                <c:pt idx="0">
                  <c:v>UNIA EUROPEJSKA (27 KRAJÓW)</c:v>
                </c:pt>
              </c:strCache>
            </c:strRef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cat>
            <c:strRef>
              <c:f>Data!$AM$10:$AX$10</c:f>
              <c:strCache>
                <c:ptCount val="12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</c:strCache>
            </c:strRef>
          </c:cat>
          <c:val>
            <c:numRef>
              <c:f>Data!$AM$126:$AX$126</c:f>
              <c:numCache>
                <c:formatCode>#,##0.00</c:formatCode>
                <c:ptCount val="12"/>
                <c:pt idx="0">
                  <c:v>278170.39</c:v>
                </c:pt>
                <c:pt idx="1">
                  <c:v>273631.05</c:v>
                </c:pt>
                <c:pt idx="2">
                  <c:v>293557.62</c:v>
                </c:pt>
                <c:pt idx="3">
                  <c:v>283611.74</c:v>
                </c:pt>
                <c:pt idx="4">
                  <c:v>280153.46000000002</c:v>
                </c:pt>
                <c:pt idx="5">
                  <c:v>280987.59999999998</c:v>
                </c:pt>
                <c:pt idx="6">
                  <c:v>289621.7800000002</c:v>
                </c:pt>
                <c:pt idx="7">
                  <c:v>289543.18</c:v>
                </c:pt>
                <c:pt idx="8">
                  <c:v>284669.90999999997</c:v>
                </c:pt>
                <c:pt idx="9">
                  <c:v>288977.46000000002</c:v>
                </c:pt>
                <c:pt idx="10">
                  <c:v>275328.5</c:v>
                </c:pt>
                <c:pt idx="11">
                  <c:v>281240.43000000023</c:v>
                </c:pt>
              </c:numCache>
            </c:numRef>
          </c:val>
        </c:ser>
        <c:marker val="1"/>
        <c:axId val="246118656"/>
        <c:axId val="246149504"/>
      </c:lineChart>
      <c:lineChart>
        <c:grouping val="standard"/>
        <c:ser>
          <c:idx val="0"/>
          <c:order val="0"/>
          <c:tx>
            <c:strRef>
              <c:f>Data!$B$152</c:f>
              <c:strCache>
                <c:ptCount val="1"/>
                <c:pt idx="0">
                  <c:v>POLSKA</c:v>
                </c:pt>
              </c:strCache>
            </c:strRef>
          </c:tx>
          <c:spPr>
            <a:ln w="38100">
              <a:solidFill>
                <a:srgbClr val="0070C0"/>
              </a:solidFill>
              <a:prstDash val="dash"/>
            </a:ln>
          </c:spPr>
          <c:marker>
            <c:symbol val="none"/>
          </c:marker>
          <c:cat>
            <c:strRef>
              <c:f>Data!$AM$10:$AX$10</c:f>
              <c:strCache>
                <c:ptCount val="12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</c:strCache>
            </c:strRef>
          </c:cat>
          <c:val>
            <c:numRef>
              <c:f>Data!$AM$152:$AX$152</c:f>
              <c:numCache>
                <c:formatCode>#,##0.00</c:formatCode>
                <c:ptCount val="12"/>
                <c:pt idx="0">
                  <c:v>12942.39</c:v>
                </c:pt>
                <c:pt idx="1">
                  <c:v>12776.54</c:v>
                </c:pt>
                <c:pt idx="2">
                  <c:v>13868.98</c:v>
                </c:pt>
                <c:pt idx="3">
                  <c:v>13626.47</c:v>
                </c:pt>
                <c:pt idx="4">
                  <c:v>13322.54</c:v>
                </c:pt>
                <c:pt idx="5">
                  <c:v>14468.67</c:v>
                </c:pt>
                <c:pt idx="6">
                  <c:v>14591.48</c:v>
                </c:pt>
                <c:pt idx="7">
                  <c:v>15097.349999999993</c:v>
                </c:pt>
                <c:pt idx="8">
                  <c:v>14741.12</c:v>
                </c:pt>
                <c:pt idx="9">
                  <c:v>15064.01</c:v>
                </c:pt>
                <c:pt idx="10">
                  <c:v>15436.46</c:v>
                </c:pt>
                <c:pt idx="11">
                  <c:v>15582.359999999988</c:v>
                </c:pt>
              </c:numCache>
            </c:numRef>
          </c:val>
        </c:ser>
        <c:marker val="1"/>
        <c:axId val="246151424"/>
        <c:axId val="246231040"/>
      </c:lineChart>
      <c:catAx>
        <c:axId val="246118656"/>
        <c:scaling>
          <c:orientation val="minMax"/>
        </c:scaling>
        <c:axPos val="b"/>
        <c:title>
          <c:tx>
            <c:rich>
              <a:bodyPr/>
              <a:lstStyle/>
              <a:p>
                <a:pPr algn="r">
                  <a:defRPr b="0"/>
                </a:pPr>
                <a:r>
                  <a:rPr lang="pl-PL" b="0"/>
                  <a:t>Lata</a:t>
                </a:r>
                <a:endParaRPr lang="en-US" b="0"/>
              </a:p>
            </c:rich>
          </c:tx>
          <c:layout>
            <c:manualLayout>
              <c:xMode val="edge"/>
              <c:yMode val="edge"/>
              <c:x val="2.6339266648001493E-2"/>
              <c:y val="0.8208810030133098"/>
            </c:manualLayout>
          </c:layout>
        </c:title>
        <c:numFmt formatCode="General" sourceLinked="1"/>
        <c:tickLblPos val="nextTo"/>
        <c:txPr>
          <a:bodyPr rot="-2700000"/>
          <a:lstStyle/>
          <a:p>
            <a:pPr>
              <a:defRPr sz="1000"/>
            </a:pPr>
            <a:endParaRPr lang="pl-PL"/>
          </a:p>
        </c:txPr>
        <c:crossAx val="246149504"/>
        <c:crosses val="autoZero"/>
        <c:auto val="1"/>
        <c:lblAlgn val="ctr"/>
        <c:lblOffset val="100"/>
      </c:catAx>
      <c:valAx>
        <c:axId val="24614950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pl-PL" b="0"/>
                  <a:t>UE 27</a:t>
                </a:r>
              </a:p>
            </c:rich>
          </c:tx>
        </c:title>
        <c:numFmt formatCode="#,##0" sourceLinked="0"/>
        <c:tickLblPos val="nextTo"/>
        <c:txPr>
          <a:bodyPr/>
          <a:lstStyle/>
          <a:p>
            <a:pPr>
              <a:defRPr sz="1000"/>
            </a:pPr>
            <a:endParaRPr lang="pl-PL"/>
          </a:p>
        </c:txPr>
        <c:crossAx val="246118656"/>
        <c:crosses val="autoZero"/>
        <c:crossBetween val="between"/>
      </c:valAx>
      <c:catAx>
        <c:axId val="246151424"/>
        <c:scaling>
          <c:orientation val="minMax"/>
        </c:scaling>
        <c:delete val="1"/>
        <c:axPos val="b"/>
        <c:tickLblPos val="none"/>
        <c:crossAx val="246231040"/>
        <c:crosses val="autoZero"/>
        <c:auto val="1"/>
        <c:lblAlgn val="ctr"/>
        <c:lblOffset val="100"/>
      </c:catAx>
      <c:valAx>
        <c:axId val="246231040"/>
        <c:scaling>
          <c:orientation val="minMax"/>
        </c:scaling>
        <c:axPos val="r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pl-PL" b="0"/>
                  <a:t>Polska</a:t>
                </a:r>
              </a:p>
            </c:rich>
          </c:tx>
        </c:title>
        <c:numFmt formatCode="#,##0" sourceLinked="0"/>
        <c:tickLblPos val="nextTo"/>
        <c:txPr>
          <a:bodyPr/>
          <a:lstStyle/>
          <a:p>
            <a:pPr>
              <a:defRPr sz="1000"/>
            </a:pPr>
            <a:endParaRPr lang="pl-PL"/>
          </a:p>
        </c:txPr>
        <c:crossAx val="246151424"/>
        <c:crosses val="max"/>
        <c:crossBetween val="between"/>
      </c:valAx>
    </c:plotArea>
    <c:legend>
      <c:legendPos val="b"/>
      <c:layout>
        <c:manualLayout>
          <c:xMode val="edge"/>
          <c:yMode val="edge"/>
          <c:x val="3.0292569564462489E-2"/>
          <c:y val="0.91244325107897073"/>
          <c:w val="0.92748998892969159"/>
          <c:h val="8.454589517773721E-2"/>
        </c:manualLayout>
      </c:layout>
    </c:legend>
    <c:plotVisOnly val="1"/>
    <c:dispBlanksAs val="gap"/>
  </c:chart>
  <c:txPr>
    <a:bodyPr/>
    <a:lstStyle/>
    <a:p>
      <a:pPr>
        <a:defRPr sz="1100">
          <a:solidFill>
            <a:sysClr val="windowText" lastClr="000000"/>
          </a:solidFill>
          <a:latin typeface="+mn-lt"/>
          <a:cs typeface="Times New Roman" pitchFamily="18" charset="0"/>
        </a:defRPr>
      </a:pPr>
      <a:endParaRPr lang="pl-PL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l-PL"/>
  <c:chart>
    <c:plotArea>
      <c:layout>
        <c:manualLayout>
          <c:layoutTarget val="inner"/>
          <c:xMode val="edge"/>
          <c:yMode val="edge"/>
          <c:x val="0.14902321237623081"/>
          <c:y val="3.7797619047619052E-2"/>
          <c:w val="0.73694551144316367"/>
          <c:h val="0.7391330001183527"/>
        </c:manualLayout>
      </c:layout>
      <c:lineChart>
        <c:grouping val="standard"/>
        <c:ser>
          <c:idx val="0"/>
          <c:order val="0"/>
          <c:tx>
            <c:strRef>
              <c:f>Data!$A$13</c:f>
              <c:strCache>
                <c:ptCount val="1"/>
                <c:pt idx="0">
                  <c:v>UNIA EUROPEJSKA (27 krajów)</c:v>
                </c:pt>
              </c:strCache>
            </c:strRef>
          </c:tx>
          <c:spPr>
            <a:ln w="381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Data!$B$11:$K$11</c:f>
              <c:strCache>
                <c:ptCount val="10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</c:strCache>
            </c:strRef>
          </c:cat>
          <c:val>
            <c:numRef>
              <c:f>Data!$B$13:$K$13</c:f>
              <c:numCache>
                <c:formatCode>#,##0.00</c:formatCode>
                <c:ptCount val="10"/>
                <c:pt idx="0">
                  <c:v>160013.3299999999</c:v>
                </c:pt>
                <c:pt idx="1">
                  <c:v>148700.01999999999</c:v>
                </c:pt>
                <c:pt idx="2">
                  <c:v>146302.13</c:v>
                </c:pt>
                <c:pt idx="3">
                  <c:v>147702.20000000001</c:v>
                </c:pt>
                <c:pt idx="4">
                  <c:v>156304.57</c:v>
                </c:pt>
                <c:pt idx="5">
                  <c:v>158623.12</c:v>
                </c:pt>
                <c:pt idx="6">
                  <c:v>150335.97</c:v>
                </c:pt>
                <c:pt idx="7">
                  <c:v>155573.8299999999</c:v>
                </c:pt>
                <c:pt idx="8">
                  <c:v>145160.47999999998</c:v>
                </c:pt>
                <c:pt idx="9">
                  <c:v>149458.75</c:v>
                </c:pt>
              </c:numCache>
            </c:numRef>
          </c:val>
        </c:ser>
        <c:marker val="1"/>
        <c:axId val="241162496"/>
        <c:axId val="246026624"/>
      </c:lineChart>
      <c:lineChart>
        <c:grouping val="standard"/>
        <c:ser>
          <c:idx val="1"/>
          <c:order val="1"/>
          <c:tx>
            <c:strRef>
              <c:f>Data!$A$39</c:f>
              <c:strCache>
                <c:ptCount val="1"/>
                <c:pt idx="0">
                  <c:v>POLSKA</c:v>
                </c:pt>
              </c:strCache>
            </c:strRef>
          </c:tx>
          <c:spPr>
            <a:ln w="38100">
              <a:solidFill>
                <a:srgbClr val="0070C0"/>
              </a:solidFill>
              <a:prstDash val="dash"/>
            </a:ln>
          </c:spPr>
          <c:marker>
            <c:symbol val="none"/>
          </c:marker>
          <c:cat>
            <c:strRef>
              <c:f>Data!$B$11:$K$11</c:f>
              <c:strCache>
                <c:ptCount val="10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</c:strCache>
            </c:strRef>
          </c:cat>
          <c:val>
            <c:numRef>
              <c:f>Data!$B$39:$K$39</c:f>
              <c:numCache>
                <c:formatCode>#,##0.00</c:formatCode>
                <c:ptCount val="10"/>
                <c:pt idx="0">
                  <c:v>5921.1600000000026</c:v>
                </c:pt>
                <c:pt idx="1">
                  <c:v>6092.31</c:v>
                </c:pt>
                <c:pt idx="2">
                  <c:v>5736.3600000000024</c:v>
                </c:pt>
                <c:pt idx="3">
                  <c:v>6517.23</c:v>
                </c:pt>
                <c:pt idx="4">
                  <c:v>6553.42</c:v>
                </c:pt>
                <c:pt idx="5">
                  <c:v>7485.63</c:v>
                </c:pt>
                <c:pt idx="6">
                  <c:v>7001.01</c:v>
                </c:pt>
                <c:pt idx="7">
                  <c:v>6810.75</c:v>
                </c:pt>
                <c:pt idx="8">
                  <c:v>7246.41</c:v>
                </c:pt>
                <c:pt idx="9">
                  <c:v>7698.06</c:v>
                </c:pt>
              </c:numCache>
            </c:numRef>
          </c:val>
        </c:ser>
        <c:marker val="1"/>
        <c:axId val="246092160"/>
        <c:axId val="246028544"/>
      </c:lineChart>
      <c:catAx>
        <c:axId val="241162496"/>
        <c:scaling>
          <c:orientation val="minMax"/>
        </c:scaling>
        <c:axPos val="b"/>
        <c:title>
          <c:tx>
            <c:rich>
              <a:bodyPr/>
              <a:lstStyle/>
              <a:p>
                <a:pPr algn="r">
                  <a:defRPr/>
                </a:pPr>
                <a:r>
                  <a:rPr lang="pl-PL"/>
                  <a:t>Lata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1.7420209650591024E-2"/>
              <c:y val="0.80371824657076874"/>
            </c:manualLayout>
          </c:layout>
        </c:title>
        <c:tickLblPos val="nextTo"/>
        <c:txPr>
          <a:bodyPr rot="-2700000"/>
          <a:lstStyle/>
          <a:p>
            <a:pPr>
              <a:defRPr/>
            </a:pPr>
            <a:endParaRPr lang="pl-PL"/>
          </a:p>
        </c:txPr>
        <c:crossAx val="246026624"/>
        <c:crosses val="autoZero"/>
        <c:auto val="1"/>
        <c:lblAlgn val="ctr"/>
        <c:lblOffset val="100"/>
      </c:catAx>
      <c:valAx>
        <c:axId val="24602662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l-PL"/>
                  <a:t>UE 27</a:t>
                </a:r>
              </a:p>
            </c:rich>
          </c:tx>
        </c:title>
        <c:numFmt formatCode="#,##0" sourceLinked="0"/>
        <c:tickLblPos val="nextTo"/>
        <c:crossAx val="241162496"/>
        <c:crosses val="autoZero"/>
        <c:crossBetween val="between"/>
      </c:valAx>
      <c:valAx>
        <c:axId val="246028544"/>
        <c:scaling>
          <c:orientation val="minMax"/>
        </c:scaling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l-PL"/>
                  <a:t>Polska</a:t>
                </a:r>
              </a:p>
            </c:rich>
          </c:tx>
        </c:title>
        <c:numFmt formatCode="#,##0" sourceLinked="0"/>
        <c:tickLblPos val="nextTo"/>
        <c:crossAx val="246092160"/>
        <c:crosses val="max"/>
        <c:crossBetween val="between"/>
      </c:valAx>
      <c:catAx>
        <c:axId val="246092160"/>
        <c:scaling>
          <c:orientation val="minMax"/>
        </c:scaling>
        <c:delete val="1"/>
        <c:axPos val="b"/>
        <c:tickLblPos val="none"/>
        <c:crossAx val="246028544"/>
        <c:crosses val="autoZero"/>
        <c:auto val="1"/>
        <c:lblAlgn val="ctr"/>
        <c:lblOffset val="100"/>
      </c:catAx>
    </c:plotArea>
    <c:legend>
      <c:legendPos val="b"/>
      <c:layout>
        <c:manualLayout>
          <c:xMode val="edge"/>
          <c:yMode val="edge"/>
          <c:x val="0.17644851975879275"/>
          <c:y val="0.91090562998489211"/>
          <c:w val="0.64252822781160102"/>
          <c:h val="8.9094224172564074E-2"/>
        </c:manualLayout>
      </c:layout>
    </c:legend>
    <c:plotVisOnly val="1"/>
    <c:dispBlanksAs val="gap"/>
  </c:chart>
  <c:txPr>
    <a:bodyPr/>
    <a:lstStyle/>
    <a:p>
      <a:pPr>
        <a:defRPr sz="1100" b="0">
          <a:latin typeface="+mn-lt"/>
          <a:cs typeface="Times New Roman" pitchFamily="18" charset="0"/>
        </a:defRPr>
      </a:pPr>
      <a:endParaRPr lang="pl-PL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l-PL"/>
  <c:chart>
    <c:plotArea>
      <c:layout>
        <c:manualLayout>
          <c:layoutTarget val="inner"/>
          <c:xMode val="edge"/>
          <c:yMode val="edge"/>
          <c:x val="0.13299952089322176"/>
          <c:y val="3.4039636927567979E-2"/>
          <c:w val="0.74904925463717487"/>
          <c:h val="0.77686190794518772"/>
        </c:manualLayout>
      </c:layout>
      <c:lineChart>
        <c:grouping val="standard"/>
        <c:ser>
          <c:idx val="0"/>
          <c:order val="0"/>
          <c:tx>
            <c:strRef>
              <c:f>Data!$A$57</c:f>
              <c:strCache>
                <c:ptCount val="1"/>
                <c:pt idx="0">
                  <c:v>UNIA EUROPEJSKA (27 krajów)</c:v>
                </c:pt>
              </c:strCache>
            </c:strRef>
          </c:tx>
          <c:spPr>
            <a:ln w="31750">
              <a:solidFill>
                <a:srgbClr val="C00000"/>
              </a:solidFill>
            </a:ln>
          </c:spPr>
          <c:marker>
            <c:symbol val="circle"/>
            <c:size val="2"/>
            <c:spPr>
              <a:solidFill>
                <a:srgbClr val="C00000"/>
              </a:solidFill>
              <a:ln w="57150">
                <a:solidFill>
                  <a:srgbClr val="C00000"/>
                </a:solidFill>
              </a:ln>
            </c:spPr>
          </c:marker>
          <c:cat>
            <c:strRef>
              <c:f>Data!$B$11:$K$11</c:f>
              <c:strCache>
                <c:ptCount val="10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</c:strCache>
            </c:strRef>
          </c:cat>
          <c:val>
            <c:numRef>
              <c:f>Data!$B$57:$K$57</c:f>
              <c:numCache>
                <c:formatCode>General</c:formatCode>
                <c:ptCount val="10"/>
                <c:pt idx="0">
                  <c:v>12659.582901492915</c:v>
                </c:pt>
                <c:pt idx="1">
                  <c:v>11762.380952380949</c:v>
                </c:pt>
                <c:pt idx="2">
                  <c:v>11821.152525391271</c:v>
                </c:pt>
                <c:pt idx="3">
                  <c:v>12542.007030891769</c:v>
                </c:pt>
                <c:pt idx="4">
                  <c:v>13618.820956513406</c:v>
                </c:pt>
                <c:pt idx="5">
                  <c:v>14284.194222318283</c:v>
                </c:pt>
                <c:pt idx="6">
                  <c:v>14545.73311144223</c:v>
                </c:pt>
                <c:pt idx="7">
                  <c:v>15453.842256878917</c:v>
                </c:pt>
                <c:pt idx="8">
                  <c:v>14516.919015140909</c:v>
                </c:pt>
                <c:pt idx="9">
                  <c:v>15152.402242566184</c:v>
                </c:pt>
              </c:numCache>
            </c:numRef>
          </c:val>
        </c:ser>
        <c:marker val="1"/>
        <c:axId val="246082560"/>
        <c:axId val="246081408"/>
      </c:lineChart>
      <c:lineChart>
        <c:grouping val="standard"/>
        <c:ser>
          <c:idx val="1"/>
          <c:order val="1"/>
          <c:tx>
            <c:strRef>
              <c:f>Data!$A$58</c:f>
              <c:strCache>
                <c:ptCount val="1"/>
                <c:pt idx="0">
                  <c:v>POLSKA</c:v>
                </c:pt>
              </c:strCache>
            </c:strRef>
          </c:tx>
          <c:spPr>
            <a:ln w="31750">
              <a:solidFill>
                <a:srgbClr val="0070C0"/>
              </a:solidFill>
              <a:prstDash val="dash"/>
            </a:ln>
          </c:spPr>
          <c:marker>
            <c:symbol val="x"/>
            <c:size val="3"/>
            <c:spPr>
              <a:solidFill>
                <a:srgbClr val="0070C0"/>
              </a:solidFill>
              <a:ln w="57150">
                <a:solidFill>
                  <a:srgbClr val="0070C0"/>
                </a:solidFill>
              </a:ln>
            </c:spPr>
          </c:marker>
          <c:val>
            <c:numRef>
              <c:f>Data!$B$58:$K$58</c:f>
              <c:numCache>
                <c:formatCode>General</c:formatCode>
                <c:ptCount val="10"/>
                <c:pt idx="0">
                  <c:v>2592.9059379926443</c:v>
                </c:pt>
                <c:pt idx="1">
                  <c:v>2658.1918931890573</c:v>
                </c:pt>
                <c:pt idx="2">
                  <c:v>2502.8840699856</c:v>
                </c:pt>
                <c:pt idx="3">
                  <c:v>2834.4409168007669</c:v>
                </c:pt>
                <c:pt idx="4">
                  <c:v>2850.1804897142583</c:v>
                </c:pt>
                <c:pt idx="5">
                  <c:v>3381.3488119974704</c:v>
                </c:pt>
                <c:pt idx="6">
                  <c:v>3331.7517727121312</c:v>
                </c:pt>
                <c:pt idx="7">
                  <c:v>3241.2078237281667</c:v>
                </c:pt>
                <c:pt idx="8">
                  <c:v>3448.5366201875031</c:v>
                </c:pt>
                <c:pt idx="9">
                  <c:v>3663.4749916718224</c:v>
                </c:pt>
              </c:numCache>
            </c:numRef>
          </c:val>
        </c:ser>
        <c:marker val="1"/>
        <c:axId val="241128192"/>
        <c:axId val="241121920"/>
      </c:lineChart>
      <c:catAx>
        <c:axId val="246082560"/>
        <c:scaling>
          <c:orientation val="minMax"/>
        </c:scaling>
        <c:axPos val="b"/>
        <c:title>
          <c:tx>
            <c:rich>
              <a:bodyPr/>
              <a:lstStyle/>
              <a:p>
                <a:pPr algn="r">
                  <a:defRPr b="0"/>
                </a:pPr>
                <a:r>
                  <a:rPr lang="pl-PL" b="0"/>
                  <a:t>Lata</a:t>
                </a:r>
                <a:endParaRPr lang="en-US" b="0"/>
              </a:p>
            </c:rich>
          </c:tx>
          <c:layout>
            <c:manualLayout>
              <c:xMode val="edge"/>
              <c:yMode val="edge"/>
              <c:x val="1.4694630491050261E-2"/>
              <c:y val="0.82246417594594234"/>
            </c:manualLayout>
          </c:layout>
        </c:title>
        <c:tickLblPos val="nextTo"/>
        <c:crossAx val="246081408"/>
        <c:crosses val="autoZero"/>
        <c:auto val="1"/>
        <c:lblAlgn val="ctr"/>
        <c:lblOffset val="100"/>
      </c:catAx>
      <c:valAx>
        <c:axId val="246081408"/>
        <c:scaling>
          <c:orientation val="minMax"/>
          <c:min val="3000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l-PL"/>
                  <a:t>UE 27</a:t>
                </a:r>
              </a:p>
            </c:rich>
          </c:tx>
        </c:title>
        <c:numFmt formatCode="#,##0" sourceLinked="0"/>
        <c:tickLblPos val="nextTo"/>
        <c:crossAx val="246082560"/>
        <c:crosses val="autoZero"/>
        <c:crossBetween val="between"/>
      </c:valAx>
      <c:valAx>
        <c:axId val="241121920"/>
        <c:scaling>
          <c:orientation val="minMax"/>
          <c:min val="2000"/>
        </c:scaling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l-PL"/>
                  <a:t>Polska</a:t>
                </a:r>
              </a:p>
            </c:rich>
          </c:tx>
        </c:title>
        <c:numFmt formatCode="#,##0" sourceLinked="0"/>
        <c:tickLblPos val="nextTo"/>
        <c:crossAx val="241128192"/>
        <c:crosses val="max"/>
        <c:crossBetween val="between"/>
      </c:valAx>
      <c:catAx>
        <c:axId val="241128192"/>
        <c:scaling>
          <c:orientation val="minMax"/>
        </c:scaling>
        <c:delete val="1"/>
        <c:axPos val="b"/>
        <c:tickLblPos val="none"/>
        <c:crossAx val="241121920"/>
        <c:crosses val="autoZero"/>
        <c:auto val="1"/>
        <c:lblAlgn val="ctr"/>
        <c:lblOffset val="100"/>
      </c:catAx>
    </c:plotArea>
    <c:legend>
      <c:legendPos val="b"/>
      <c:layout>
        <c:manualLayout>
          <c:xMode val="edge"/>
          <c:yMode val="edge"/>
          <c:x val="8.734556251729958E-2"/>
          <c:y val="0.90314417110686818"/>
          <c:w val="0.82530870142795265"/>
          <c:h val="9.5247964585169556E-2"/>
        </c:manualLayout>
      </c:layout>
    </c:legend>
    <c:plotVisOnly val="1"/>
    <c:dispBlanksAs val="gap"/>
  </c:chart>
  <c:txPr>
    <a:bodyPr/>
    <a:lstStyle/>
    <a:p>
      <a:pPr>
        <a:defRPr sz="1100">
          <a:solidFill>
            <a:sysClr val="windowText" lastClr="000000"/>
          </a:solidFill>
          <a:latin typeface="+mn-lt"/>
          <a:cs typeface="Times New Roman" pitchFamily="18" charset="0"/>
        </a:defRPr>
      </a:pPr>
      <a:endParaRPr lang="pl-PL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l-PL"/>
  <c:chart>
    <c:plotArea>
      <c:layout>
        <c:manualLayout>
          <c:layoutTarget val="inner"/>
          <c:xMode val="edge"/>
          <c:yMode val="edge"/>
          <c:x val="0.13879530471761325"/>
          <c:y val="4.7755113770846402E-2"/>
          <c:w val="0.74799693194947492"/>
          <c:h val="0.7254465064303387"/>
        </c:manualLayout>
      </c:layout>
      <c:bar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MAŁE</c:v>
                </c:pt>
              </c:strCache>
            </c:strRef>
          </c:tx>
          <c:spPr>
            <a:solidFill>
              <a:srgbClr val="0070C0"/>
            </a:solidFill>
          </c:spPr>
          <c:cat>
            <c:numRef>
              <c:f>Arkusz1!$A$3:$A$11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Arkusz1!$B$13:$B$21</c:f>
              <c:numCache>
                <c:formatCode>General</c:formatCode>
                <c:ptCount val="9"/>
                <c:pt idx="0">
                  <c:v>3895.2108636633266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ŚREDNIE</c:v>
                </c:pt>
              </c:strCache>
            </c:strRef>
          </c:tx>
          <c:spPr>
            <a:solidFill>
              <a:srgbClr val="FFC000"/>
            </a:solidFill>
          </c:spPr>
          <c:cat>
            <c:numRef>
              <c:f>Arkusz1!$A$3:$A$11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Arkusz1!$C$13:$C$21</c:f>
              <c:numCache>
                <c:formatCode>General</c:formatCode>
                <c:ptCount val="9"/>
                <c:pt idx="0">
                  <c:v>5519.4411718242936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DUŻE</c:v>
                </c:pt>
              </c:strCache>
            </c:strRef>
          </c:tx>
          <c:spPr>
            <a:solidFill>
              <a:srgbClr val="00B050"/>
            </a:solidFill>
          </c:spPr>
          <c:cat>
            <c:numRef>
              <c:f>Arkusz1!$A$3:$A$11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Arkusz1!$D$13:$D$21</c:f>
              <c:numCache>
                <c:formatCode>General</c:formatCode>
                <c:ptCount val="9"/>
                <c:pt idx="0">
                  <c:v>8452.7114149639256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axId val="246056448"/>
        <c:axId val="246058368"/>
      </c:barChart>
      <c:lineChart>
        <c:grouping val="standard"/>
        <c:ser>
          <c:idx val="3"/>
          <c:order val="3"/>
          <c:spPr>
            <a:ln w="37943">
              <a:solidFill>
                <a:srgbClr val="0070C0"/>
              </a:solidFill>
            </a:ln>
          </c:spPr>
          <c:marker>
            <c:symbol val="none"/>
          </c:marker>
          <c:cat>
            <c:numRef>
              <c:f>Arkusz1!$A$3:$A$11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Arkusz1!$B$3:$B$11</c:f>
              <c:numCache>
                <c:formatCode>General</c:formatCode>
                <c:ptCount val="9"/>
                <c:pt idx="0">
                  <c:v>1</c:v>
                </c:pt>
                <c:pt idx="1">
                  <c:v>0.93517370436373104</c:v>
                </c:pt>
                <c:pt idx="2">
                  <c:v>0.9942666770529992</c:v>
                </c:pt>
                <c:pt idx="3">
                  <c:v>1.1529809936464379</c:v>
                </c:pt>
                <c:pt idx="4">
                  <c:v>0.99733390872489058</c:v>
                </c:pt>
                <c:pt idx="5">
                  <c:v>0.94715881302049976</c:v>
                </c:pt>
                <c:pt idx="6">
                  <c:v>1.0812697584897153</c:v>
                </c:pt>
                <c:pt idx="7">
                  <c:v>1.2116457496925634</c:v>
                </c:pt>
                <c:pt idx="8">
                  <c:v>1.2773883635096874</c:v>
                </c:pt>
              </c:numCache>
            </c:numRef>
          </c:val>
        </c:ser>
        <c:ser>
          <c:idx val="4"/>
          <c:order val="4"/>
          <c:spPr>
            <a:ln w="37943">
              <a:solidFill>
                <a:srgbClr val="FFC000"/>
              </a:solidFill>
            </a:ln>
          </c:spPr>
          <c:marker>
            <c:symbol val="none"/>
          </c:marker>
          <c:cat>
            <c:numRef>
              <c:f>Arkusz1!$A$3:$A$11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Arkusz1!$C$3:$C$11</c:f>
              <c:numCache>
                <c:formatCode>General</c:formatCode>
                <c:ptCount val="9"/>
                <c:pt idx="0">
                  <c:v>1</c:v>
                </c:pt>
                <c:pt idx="1">
                  <c:v>0.93910241080352275</c:v>
                </c:pt>
                <c:pt idx="2">
                  <c:v>0.96528854178433721</c:v>
                </c:pt>
                <c:pt idx="3">
                  <c:v>1.1503478521691519</c:v>
                </c:pt>
                <c:pt idx="4">
                  <c:v>1.0100536322808433</c:v>
                </c:pt>
                <c:pt idx="5">
                  <c:v>1.0011927324830601</c:v>
                </c:pt>
                <c:pt idx="6">
                  <c:v>1.0430055230919195</c:v>
                </c:pt>
                <c:pt idx="7">
                  <c:v>1.1711607124072199</c:v>
                </c:pt>
                <c:pt idx="8">
                  <c:v>1.2846223961785459</c:v>
                </c:pt>
              </c:numCache>
            </c:numRef>
          </c:val>
        </c:ser>
        <c:ser>
          <c:idx val="5"/>
          <c:order val="5"/>
          <c:spPr>
            <a:ln w="37943">
              <a:solidFill>
                <a:srgbClr val="00B050"/>
              </a:solidFill>
            </a:ln>
          </c:spPr>
          <c:marker>
            <c:symbol val="none"/>
          </c:marker>
          <c:cat>
            <c:numRef>
              <c:f>Arkusz1!$A$3:$A$11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Arkusz1!$D$3:$D$11</c:f>
              <c:numCache>
                <c:formatCode>General</c:formatCode>
                <c:ptCount val="9"/>
                <c:pt idx="0">
                  <c:v>1</c:v>
                </c:pt>
                <c:pt idx="1">
                  <c:v>1.0446083310828844</c:v>
                </c:pt>
                <c:pt idx="2">
                  <c:v>0.96321343023320904</c:v>
                </c:pt>
                <c:pt idx="3">
                  <c:v>1.1343736216264735</c:v>
                </c:pt>
                <c:pt idx="4">
                  <c:v>1.2088394335288901</c:v>
                </c:pt>
                <c:pt idx="5">
                  <c:v>1.2263848285143444</c:v>
                </c:pt>
                <c:pt idx="6">
                  <c:v>1.0437337061869443</c:v>
                </c:pt>
                <c:pt idx="7">
                  <c:v>1.2083355341511497</c:v>
                </c:pt>
                <c:pt idx="8">
                  <c:v>1.329616907169024</c:v>
                </c:pt>
              </c:numCache>
            </c:numRef>
          </c:val>
        </c:ser>
        <c:marker val="1"/>
        <c:axId val="246064640"/>
        <c:axId val="246066176"/>
      </c:lineChart>
      <c:catAx>
        <c:axId val="246056448"/>
        <c:scaling>
          <c:orientation val="minMax"/>
        </c:scaling>
        <c:axPos val="b"/>
        <c:title>
          <c:tx>
            <c:rich>
              <a:bodyPr/>
              <a:lstStyle/>
              <a:p>
                <a:pPr algn="r">
                  <a:defRPr sz="10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t>Lata</a:t>
                </a:r>
              </a:p>
            </c:rich>
          </c:tx>
          <c:layout>
            <c:manualLayout>
              <c:xMode val="edge"/>
              <c:yMode val="edge"/>
              <c:x val="1.3288774949642923E-2"/>
              <c:y val="0.78121255251256849"/>
            </c:manualLayout>
          </c:layout>
          <c:spPr>
            <a:noFill/>
            <a:ln w="25367">
              <a:noFill/>
            </a:ln>
          </c:spPr>
        </c:title>
        <c:numFmt formatCode="General" sourceLinked="1"/>
        <c:tickLblPos val="nextTo"/>
        <c:txPr>
          <a:bodyPr rot="-2700000"/>
          <a:lstStyle/>
          <a:p>
            <a:pPr>
              <a:defRPr/>
            </a:pPr>
            <a:endParaRPr lang="pl-PL"/>
          </a:p>
        </c:txPr>
        <c:crossAx val="246058368"/>
        <c:crosses val="autoZero"/>
        <c:auto val="1"/>
        <c:lblAlgn val="ctr"/>
        <c:lblOffset val="100"/>
      </c:catAx>
      <c:valAx>
        <c:axId val="24605836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0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t>zł/hektar</a:t>
                </a:r>
              </a:p>
            </c:rich>
          </c:tx>
          <c:layout>
            <c:manualLayout>
              <c:xMode val="edge"/>
              <c:yMode val="edge"/>
              <c:x val="9.4897149484221479E-3"/>
              <c:y val="0.30710000535647336"/>
            </c:manualLayout>
          </c:layout>
          <c:spPr>
            <a:noFill/>
            <a:ln w="25367">
              <a:noFill/>
            </a:ln>
          </c:spPr>
        </c:title>
        <c:numFmt formatCode="#,##0" sourceLinked="0"/>
        <c:tickLblPos val="nextTo"/>
        <c:crossAx val="246056448"/>
        <c:crosses val="autoZero"/>
        <c:crossBetween val="between"/>
      </c:valAx>
      <c:catAx>
        <c:axId val="246064640"/>
        <c:scaling>
          <c:orientation val="minMax"/>
        </c:scaling>
        <c:delete val="1"/>
        <c:axPos val="b"/>
        <c:numFmt formatCode="General" sourceLinked="1"/>
        <c:tickLblPos val="none"/>
        <c:crossAx val="246066176"/>
        <c:crosses val="autoZero"/>
        <c:auto val="1"/>
        <c:lblAlgn val="ctr"/>
        <c:lblOffset val="100"/>
      </c:catAx>
      <c:valAx>
        <c:axId val="246066176"/>
        <c:scaling>
          <c:orientation val="minMax"/>
          <c:min val="0.60000000000000064"/>
        </c:scaling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l-PL"/>
                  <a:t>indeks zmian rok 2004=1</a:t>
                </a:r>
              </a:p>
            </c:rich>
          </c:tx>
          <c:spPr>
            <a:noFill/>
            <a:ln w="25367">
              <a:noFill/>
            </a:ln>
          </c:spPr>
        </c:title>
        <c:numFmt formatCode="General" sourceLinked="1"/>
        <c:tickLblPos val="nextTo"/>
        <c:crossAx val="246064640"/>
        <c:crosses val="max"/>
        <c:crossBetween val="between"/>
      </c:valAx>
      <c:spPr>
        <a:noFill/>
        <a:ln w="25367">
          <a:noFill/>
        </a:ln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2959381044487428"/>
          <c:y val="0.92028985507246364"/>
          <c:w val="0.40038684719535794"/>
          <c:h val="7.9710144927536253E-2"/>
        </c:manualLayout>
      </c:layout>
      <c:spPr>
        <a:solidFill>
          <a:srgbClr val="FFFFFF"/>
        </a:solidFill>
      </c:spPr>
    </c:legend>
    <c:plotVisOnly val="1"/>
    <c:dispBlanksAs val="gap"/>
  </c:chart>
  <c:spPr>
    <a:solidFill>
      <a:srgbClr val="FFFFFF"/>
    </a:solidFill>
  </c:spPr>
  <c:txPr>
    <a:bodyPr/>
    <a:lstStyle/>
    <a:p>
      <a:pPr>
        <a:defRPr sz="1099" b="0">
          <a:latin typeface="+mn-lt"/>
          <a:cs typeface="Times New Roman" pitchFamily="18" charset="0"/>
        </a:defRPr>
      </a:pPr>
      <a:endParaRPr lang="pl-PL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plotArea>
      <c:layout>
        <c:manualLayout>
          <c:layoutTarget val="inner"/>
          <c:xMode val="edge"/>
          <c:yMode val="edge"/>
          <c:x val="0.14162659351828968"/>
          <c:y val="5.4082281188953106E-2"/>
          <c:w val="0.75428988629543525"/>
          <c:h val="0.70623363188565169"/>
        </c:manualLayout>
      </c:layout>
      <c:barChart>
        <c:barDir val="col"/>
        <c:grouping val="clustered"/>
        <c:ser>
          <c:idx val="1"/>
          <c:order val="0"/>
          <c:tx>
            <c:strRef>
              <c:f>produkcja_ha!$F$1</c:f>
              <c:strCache>
                <c:ptCount val="1"/>
                <c:pt idx="0">
                  <c:v>ROŚLINNE</c:v>
                </c:pt>
              </c:strCache>
            </c:strRef>
          </c:tx>
          <c:spPr>
            <a:solidFill>
              <a:srgbClr val="3FBF3F"/>
            </a:solidFill>
          </c:spPr>
          <c:cat>
            <c:numRef>
              <c:f>produkcja_ha!$A$12:$A$20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produkcja_ha!$F$12:$F$20</c:f>
              <c:numCache>
                <c:formatCode>General</c:formatCode>
                <c:ptCount val="9"/>
                <c:pt idx="0">
                  <c:v>5331.5648416319946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2"/>
          <c:order val="1"/>
          <c:tx>
            <c:strRef>
              <c:f>produkcja_ha!$G$1</c:f>
              <c:strCache>
                <c:ptCount val="1"/>
                <c:pt idx="0">
                  <c:v>BYDLĘCE</c:v>
                </c:pt>
              </c:strCache>
            </c:strRef>
          </c:tx>
          <c:spPr>
            <a:solidFill>
              <a:srgbClr val="0070C0"/>
            </a:solidFill>
          </c:spPr>
          <c:cat>
            <c:numRef>
              <c:f>produkcja_ha!$A$12:$A$20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produkcja_ha!$G$12:$G$20</c:f>
              <c:numCache>
                <c:formatCode>General</c:formatCode>
                <c:ptCount val="9"/>
                <c:pt idx="0">
                  <c:v>3754.8482787890048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3"/>
          <c:order val="2"/>
          <c:tx>
            <c:strRef>
              <c:f>produkcja_ha!$H$1</c:f>
              <c:strCache>
                <c:ptCount val="1"/>
                <c:pt idx="0">
                  <c:v>TRZODOWE</c:v>
                </c:pt>
              </c:strCache>
            </c:strRef>
          </c:tx>
          <c:spPr>
            <a:solidFill>
              <a:srgbClr val="C00000"/>
            </a:solidFill>
          </c:spPr>
          <c:cat>
            <c:numRef>
              <c:f>produkcja_ha!$A$12:$A$20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produkcja_ha!$H$12:$H$20</c:f>
              <c:numCache>
                <c:formatCode>General</c:formatCode>
                <c:ptCount val="9"/>
                <c:pt idx="0">
                  <c:v>10561.261333285142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5"/>
          <c:order val="3"/>
          <c:tx>
            <c:strRef>
              <c:f>produkcja_ha!$J$1</c:f>
              <c:strCache>
                <c:ptCount val="1"/>
                <c:pt idx="0">
                  <c:v>MIESZANE</c:v>
                </c:pt>
              </c:strCache>
            </c:strRef>
          </c:tx>
          <c:spPr>
            <a:solidFill>
              <a:srgbClr val="FFC000"/>
            </a:solidFill>
          </c:spPr>
          <c:cat>
            <c:numRef>
              <c:f>produkcja_ha!$A$12:$A$20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produkcja_ha!$J$12:$J$20</c:f>
              <c:numCache>
                <c:formatCode>General</c:formatCode>
                <c:ptCount val="9"/>
                <c:pt idx="0">
                  <c:v>4013.2522995643317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axId val="241206400"/>
        <c:axId val="241208320"/>
      </c:barChart>
      <c:lineChart>
        <c:grouping val="standard"/>
        <c:ser>
          <c:idx val="6"/>
          <c:order val="4"/>
          <c:marker>
            <c:symbol val="none"/>
          </c:marker>
          <c:cat>
            <c:numRef>
              <c:f>produkcja_ha!$A$12:$A$20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7"/>
          <c:order val="5"/>
          <c:spPr>
            <a:ln w="38102">
              <a:solidFill>
                <a:srgbClr val="3FBF3F"/>
              </a:solidFill>
            </a:ln>
          </c:spPr>
          <c:marker>
            <c:symbol val="none"/>
          </c:marker>
          <c:cat>
            <c:numRef>
              <c:f>produkcja_ha!$A$12:$A$20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produkcja_ha!$F$3:$F$11</c:f>
              <c:numCache>
                <c:formatCode>General</c:formatCode>
                <c:ptCount val="9"/>
                <c:pt idx="0">
                  <c:v>1</c:v>
                </c:pt>
                <c:pt idx="1">
                  <c:v>0.96098135281477426</c:v>
                </c:pt>
                <c:pt idx="2">
                  <c:v>0.96661032657103663</c:v>
                </c:pt>
                <c:pt idx="3">
                  <c:v>1.14230264781975</c:v>
                </c:pt>
                <c:pt idx="4">
                  <c:v>0.99778525485565062</c:v>
                </c:pt>
                <c:pt idx="5">
                  <c:v>0.96219299139214742</c:v>
                </c:pt>
                <c:pt idx="6">
                  <c:v>1.0616502636677252</c:v>
                </c:pt>
                <c:pt idx="7">
                  <c:v>1.1294873167274437</c:v>
                </c:pt>
                <c:pt idx="8">
                  <c:v>1.2486532504366932</c:v>
                </c:pt>
              </c:numCache>
            </c:numRef>
          </c:val>
        </c:ser>
        <c:ser>
          <c:idx val="8"/>
          <c:order val="6"/>
          <c:spPr>
            <a:ln w="38102">
              <a:solidFill>
                <a:srgbClr val="0070C0"/>
              </a:solidFill>
            </a:ln>
          </c:spPr>
          <c:marker>
            <c:symbol val="none"/>
          </c:marker>
          <c:cat>
            <c:numRef>
              <c:f>produkcja_ha!$A$12:$A$20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produkcja_ha!$G$3:$G$11</c:f>
              <c:numCache>
                <c:formatCode>General</c:formatCode>
                <c:ptCount val="9"/>
                <c:pt idx="0">
                  <c:v>1</c:v>
                </c:pt>
                <c:pt idx="1">
                  <c:v>1.0279835907909241</c:v>
                </c:pt>
                <c:pt idx="2">
                  <c:v>1.0763608819867585</c:v>
                </c:pt>
                <c:pt idx="3">
                  <c:v>1.2930666448581645</c:v>
                </c:pt>
                <c:pt idx="4">
                  <c:v>1.1089594939614686</c:v>
                </c:pt>
                <c:pt idx="5">
                  <c:v>0.98408140659807286</c:v>
                </c:pt>
                <c:pt idx="6">
                  <c:v>1.2787711308594092</c:v>
                </c:pt>
                <c:pt idx="7">
                  <c:v>1.4856574455135942</c:v>
                </c:pt>
                <c:pt idx="8">
                  <c:v>1.5268733323772623</c:v>
                </c:pt>
              </c:numCache>
            </c:numRef>
          </c:val>
        </c:ser>
        <c:ser>
          <c:idx val="9"/>
          <c:order val="7"/>
          <c:spPr>
            <a:ln w="38102">
              <a:solidFill>
                <a:srgbClr val="C00000"/>
              </a:solidFill>
            </a:ln>
          </c:spPr>
          <c:marker>
            <c:symbol val="none"/>
          </c:marker>
          <c:cat>
            <c:numRef>
              <c:f>produkcja_ha!$A$12:$A$20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produkcja_ha!$H$3:$H$11</c:f>
              <c:numCache>
                <c:formatCode>General</c:formatCode>
                <c:ptCount val="9"/>
                <c:pt idx="0">
                  <c:v>1</c:v>
                </c:pt>
                <c:pt idx="1">
                  <c:v>0.83813977856168265</c:v>
                </c:pt>
                <c:pt idx="2">
                  <c:v>0.82062946640219214</c:v>
                </c:pt>
                <c:pt idx="3">
                  <c:v>0.90204523528587965</c:v>
                </c:pt>
                <c:pt idx="4">
                  <c:v>0.94261648374858253</c:v>
                </c:pt>
                <c:pt idx="5">
                  <c:v>0.95315296445809561</c:v>
                </c:pt>
                <c:pt idx="6">
                  <c:v>0.95509988177072858</c:v>
                </c:pt>
                <c:pt idx="7">
                  <c:v>1.2603472947620777</c:v>
                </c:pt>
                <c:pt idx="8">
                  <c:v>1.3598726679405031</c:v>
                </c:pt>
              </c:numCache>
            </c:numRef>
          </c:val>
        </c:ser>
        <c:ser>
          <c:idx val="11"/>
          <c:order val="8"/>
          <c:spPr>
            <a:ln w="38102">
              <a:solidFill>
                <a:srgbClr val="FFC000"/>
              </a:solidFill>
            </a:ln>
          </c:spPr>
          <c:marker>
            <c:symbol val="none"/>
          </c:marker>
          <c:cat>
            <c:numRef>
              <c:f>produkcja_ha!$A$12:$A$20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produkcja_ha!$J$3:$J$11</c:f>
              <c:numCache>
                <c:formatCode>General</c:formatCode>
                <c:ptCount val="9"/>
                <c:pt idx="0">
                  <c:v>1</c:v>
                </c:pt>
                <c:pt idx="1">
                  <c:v>0.91850248830395287</c:v>
                </c:pt>
                <c:pt idx="2">
                  <c:v>0.98555807438898058</c:v>
                </c:pt>
                <c:pt idx="3">
                  <c:v>1.0947723813583847</c:v>
                </c:pt>
                <c:pt idx="4">
                  <c:v>0.9694495609567787</c:v>
                </c:pt>
                <c:pt idx="5">
                  <c:v>0.93970801564818085</c:v>
                </c:pt>
                <c:pt idx="6">
                  <c:v>1.0845597370479603</c:v>
                </c:pt>
                <c:pt idx="7">
                  <c:v>1.2482313498293722</c:v>
                </c:pt>
                <c:pt idx="8">
                  <c:v>1.3439365275801984</c:v>
                </c:pt>
              </c:numCache>
            </c:numRef>
          </c:val>
        </c:ser>
        <c:marker val="1"/>
        <c:axId val="241214592"/>
        <c:axId val="241216128"/>
      </c:lineChart>
      <c:catAx>
        <c:axId val="241206400"/>
        <c:scaling>
          <c:orientation val="minMax"/>
        </c:scaling>
        <c:axPos val="b"/>
        <c:title>
          <c:tx>
            <c:rich>
              <a:bodyPr/>
              <a:lstStyle/>
              <a:p>
                <a:pPr algn="r">
                  <a:defRPr sz="10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t>Lata</a:t>
                </a:r>
              </a:p>
            </c:rich>
          </c:tx>
          <c:layout>
            <c:manualLayout>
              <c:xMode val="edge"/>
              <c:yMode val="edge"/>
              <c:x val="1.2614776308301269E-2"/>
              <c:y val="0.84536466810363786"/>
            </c:manualLayout>
          </c:layout>
          <c:spPr>
            <a:noFill/>
            <a:ln w="25372">
              <a:noFill/>
            </a:ln>
          </c:spPr>
        </c:title>
        <c:numFmt formatCode="General" sourceLinked="1"/>
        <c:tickLblPos val="nextTo"/>
        <c:txPr>
          <a:bodyPr rot="-2700000"/>
          <a:lstStyle/>
          <a:p>
            <a:pPr>
              <a:defRPr/>
            </a:pPr>
            <a:endParaRPr lang="pl-PL"/>
          </a:p>
        </c:txPr>
        <c:crossAx val="241208320"/>
        <c:crosses val="autoZero"/>
        <c:auto val="1"/>
        <c:lblAlgn val="ctr"/>
        <c:lblOffset val="100"/>
      </c:catAx>
      <c:valAx>
        <c:axId val="24120832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0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t>zł/hektar</a:t>
                </a:r>
              </a:p>
            </c:rich>
          </c:tx>
          <c:layout>
            <c:manualLayout>
              <c:xMode val="edge"/>
              <c:yMode val="edge"/>
              <c:x val="8.8155849450857523E-3"/>
              <c:y val="0.33175999648088689"/>
            </c:manualLayout>
          </c:layout>
          <c:spPr>
            <a:noFill/>
            <a:ln w="25372">
              <a:noFill/>
            </a:ln>
          </c:spPr>
        </c:title>
        <c:numFmt formatCode="#,##0" sourceLinked="0"/>
        <c:tickLblPos val="nextTo"/>
        <c:crossAx val="241206400"/>
        <c:crosses val="autoZero"/>
        <c:crossBetween val="between"/>
      </c:valAx>
      <c:catAx>
        <c:axId val="241214592"/>
        <c:scaling>
          <c:orientation val="minMax"/>
        </c:scaling>
        <c:delete val="1"/>
        <c:axPos val="b"/>
        <c:numFmt formatCode="General" sourceLinked="1"/>
        <c:tickLblPos val="none"/>
        <c:crossAx val="241216128"/>
        <c:crosses val="autoZero"/>
        <c:auto val="1"/>
        <c:lblAlgn val="ctr"/>
        <c:lblOffset val="100"/>
      </c:catAx>
      <c:valAx>
        <c:axId val="241216128"/>
        <c:scaling>
          <c:orientation val="minMax"/>
          <c:min val="0.5"/>
        </c:scaling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l-PL"/>
                  <a:t>indeks zmian rok 2004=1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5569039913700105"/>
              <c:y val="0.21693793164122646"/>
            </c:manualLayout>
          </c:layout>
          <c:spPr>
            <a:noFill/>
            <a:ln w="25372">
              <a:noFill/>
            </a:ln>
          </c:spPr>
        </c:title>
        <c:numFmt formatCode="General" sourceLinked="1"/>
        <c:tickLblPos val="nextTo"/>
        <c:crossAx val="241214592"/>
        <c:crosses val="max"/>
        <c:crossBetween val="between"/>
      </c:valAx>
      <c:spPr>
        <a:noFill/>
        <a:ln w="25372">
          <a:noFill/>
        </a:ln>
      </c:spPr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ayout>
        <c:manualLayout>
          <c:xMode val="edge"/>
          <c:yMode val="edge"/>
          <c:x val="8.6693548387096822E-2"/>
          <c:y val="0.89583333333333348"/>
          <c:w val="0.81451612903225779"/>
          <c:h val="7.2916666666666685E-2"/>
        </c:manualLayout>
      </c:layout>
    </c:legend>
    <c:plotVisOnly val="1"/>
    <c:dispBlanksAs val="gap"/>
  </c:chart>
  <c:spPr>
    <a:ln>
      <a:solidFill>
        <a:sysClr val="windowText" lastClr="000000"/>
      </a:solidFill>
    </a:ln>
  </c:spPr>
  <c:txPr>
    <a:bodyPr/>
    <a:lstStyle/>
    <a:p>
      <a:pPr>
        <a:defRPr sz="1099">
          <a:latin typeface="+mn-lt"/>
          <a:cs typeface="Times New Roman" panose="02020603050405020304" pitchFamily="18" charset="0"/>
        </a:defRPr>
      </a:pPr>
      <a:endParaRPr lang="pl-PL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1836870959527621"/>
          <c:y val="4.6640220232783282E-2"/>
          <c:w val="0.85297612385020571"/>
          <c:h val="0.7454799465746007"/>
        </c:manualLayout>
      </c:layout>
      <c:lineChart>
        <c:grouping val="standard"/>
        <c:ser>
          <c:idx val="0"/>
          <c:order val="0"/>
          <c:tx>
            <c:strRef>
              <c:f>dochód_gosp!$B$1</c:f>
              <c:strCache>
                <c:ptCount val="1"/>
                <c:pt idx="0">
                  <c:v>MAŁE</c:v>
                </c:pt>
              </c:strCache>
            </c:strRef>
          </c:tx>
          <c:spPr>
            <a:ln w="38100">
              <a:solidFill>
                <a:srgbClr val="0070C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7.3496168705495968E-2"/>
                  <c:y val="-4.0005720052564003E-3"/>
                </c:manualLayout>
              </c:layout>
              <c:numFmt formatCode="#,##0" sourceLinked="0"/>
              <c:spPr>
                <a:solidFill>
                  <a:sysClr val="window" lastClr="FFFFFF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layout>
                <c:manualLayout>
                  <c:x val="-1.4849599432185479E-3"/>
                  <c:y val="2.0025698365202179E-2"/>
                </c:manualLayout>
              </c:layout>
              <c:showVal val="1"/>
            </c:dLbl>
            <c:numFmt formatCode="#,##0" sourceLinked="0"/>
            <c:showVal val="1"/>
          </c:dLbls>
          <c:cat>
            <c:numRef>
              <c:f>dochód_gosp!$A$2:$A$10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dochód_gosp!$B$2:$B$10</c:f>
              <c:numCache>
                <c:formatCode>General</c:formatCode>
                <c:ptCount val="9"/>
                <c:pt idx="0">
                  <c:v>9278.5811318737251</c:v>
                </c:pt>
                <c:pt idx="1">
                  <c:v>10745.839726345794</c:v>
                </c:pt>
                <c:pt idx="2">
                  <c:v>15181.161319116529</c:v>
                </c:pt>
                <c:pt idx="3">
                  <c:v>17360.789808349156</c:v>
                </c:pt>
                <c:pt idx="4">
                  <c:v>13312.22124701386</c:v>
                </c:pt>
                <c:pt idx="5">
                  <c:v>13396.344690976484</c:v>
                </c:pt>
                <c:pt idx="6">
                  <c:v>19600.147507297712</c:v>
                </c:pt>
                <c:pt idx="7">
                  <c:v>19596.795992344865</c:v>
                </c:pt>
                <c:pt idx="8">
                  <c:v>19625.989467198026</c:v>
                </c:pt>
              </c:numCache>
            </c:numRef>
          </c:val>
        </c:ser>
        <c:ser>
          <c:idx val="1"/>
          <c:order val="1"/>
          <c:tx>
            <c:strRef>
              <c:f>dochód_gosp!$C$1</c:f>
              <c:strCache>
                <c:ptCount val="1"/>
                <c:pt idx="0">
                  <c:v>ŚREDNIE</c:v>
                </c:pt>
              </c:strCache>
            </c:strRef>
          </c:tx>
          <c:spPr>
            <a:ln w="38100">
              <a:solidFill>
                <a:srgbClr val="FFC00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8.0766891167751952E-3"/>
                  <c:y val="-5.0697430638063076E-2"/>
                </c:manualLayout>
              </c:layout>
              <c:showVal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layout>
                <c:manualLayout>
                  <c:x val="-6.2476485401755287E-2"/>
                  <c:y val="-4.8044661767244326E-2"/>
                </c:manualLayout>
              </c:layout>
              <c:showVal val="1"/>
            </c:dLbl>
            <c:numFmt formatCode="#,##0" sourceLinked="0"/>
            <c:showVal val="1"/>
          </c:dLbls>
          <c:cat>
            <c:numRef>
              <c:f>dochód_gosp!$A$2:$A$10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dochód_gosp!$C$2:$C$10</c:f>
              <c:numCache>
                <c:formatCode>General</c:formatCode>
                <c:ptCount val="9"/>
                <c:pt idx="0">
                  <c:v>42416.761817895225</c:v>
                </c:pt>
                <c:pt idx="1">
                  <c:v>42336.3932185222</c:v>
                </c:pt>
                <c:pt idx="2">
                  <c:v>51317.408631296756</c:v>
                </c:pt>
                <c:pt idx="3">
                  <c:v>64832.791819810824</c:v>
                </c:pt>
                <c:pt idx="4">
                  <c:v>53039.425585375306</c:v>
                </c:pt>
                <c:pt idx="5">
                  <c:v>56403.279558959279</c:v>
                </c:pt>
                <c:pt idx="6">
                  <c:v>75563.391940450092</c:v>
                </c:pt>
                <c:pt idx="7">
                  <c:v>79772.094919464813</c:v>
                </c:pt>
                <c:pt idx="8">
                  <c:v>84003.219027267609</c:v>
                </c:pt>
              </c:numCache>
            </c:numRef>
          </c:val>
        </c:ser>
        <c:ser>
          <c:idx val="2"/>
          <c:order val="2"/>
          <c:tx>
            <c:strRef>
              <c:f>dochód_gosp!$D$1</c:f>
              <c:strCache>
                <c:ptCount val="1"/>
                <c:pt idx="0">
                  <c:v>DUŻE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3.8966055950066199E-2"/>
                  <c:y val="-4.6713537904943279E-2"/>
                </c:manualLayout>
              </c:layout>
              <c:showVal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layout>
                <c:manualLayout>
                  <c:x val="-1.3235917903958646E-2"/>
                  <c:y val="7.2045888932706234E-2"/>
                </c:manualLayout>
              </c:layout>
              <c:showVal val="1"/>
            </c:dLbl>
            <c:numFmt formatCode="#,##0" sourceLinked="0"/>
            <c:showVal val="1"/>
          </c:dLbls>
          <c:cat>
            <c:numRef>
              <c:f>dochód_gosp!$A$2:$A$10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dochód_gosp!$D$2:$D$10</c:f>
              <c:numCache>
                <c:formatCode>General</c:formatCode>
                <c:ptCount val="9"/>
                <c:pt idx="0">
                  <c:v>216348.79839511574</c:v>
                </c:pt>
                <c:pt idx="1">
                  <c:v>223482.41315481064</c:v>
                </c:pt>
                <c:pt idx="2">
                  <c:v>207416.92362325962</c:v>
                </c:pt>
                <c:pt idx="3">
                  <c:v>315613.89220533485</c:v>
                </c:pt>
                <c:pt idx="4">
                  <c:v>223627.90631961959</c:v>
                </c:pt>
                <c:pt idx="5">
                  <c:v>263758.62981311121</c:v>
                </c:pt>
                <c:pt idx="6">
                  <c:v>291945.6575726085</c:v>
                </c:pt>
                <c:pt idx="7">
                  <c:v>328922.29542896291</c:v>
                </c:pt>
                <c:pt idx="8">
                  <c:v>348734.93467787793</c:v>
                </c:pt>
              </c:numCache>
            </c:numRef>
          </c:val>
        </c:ser>
        <c:ser>
          <c:idx val="3"/>
          <c:order val="3"/>
          <c:tx>
            <c:strRef>
              <c:f>dochód_gosp!$E$1</c:f>
              <c:strCache>
                <c:ptCount val="1"/>
                <c:pt idx="0">
                  <c:v>POLSKA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6.9113551321837455E-2"/>
                  <c:y val="-2.2687441964775078E-2"/>
                </c:manualLayout>
              </c:layout>
              <c:showVal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layout>
                <c:manualLayout>
                  <c:x val="-1.2463996392604419E-2"/>
                  <c:y val="-2.8026682659295268E-2"/>
                </c:manualLayout>
              </c:layout>
              <c:showVal val="1"/>
            </c:dLbl>
            <c:numFmt formatCode="#,##0" sourceLinked="0"/>
            <c:showVal val="1"/>
          </c:dLbls>
          <c:cat>
            <c:numRef>
              <c:f>dochód_gosp!$A$2:$A$10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dochód_gosp!$E$2:$E$10</c:f>
              <c:numCache>
                <c:formatCode>General</c:formatCode>
                <c:ptCount val="9"/>
                <c:pt idx="0">
                  <c:v>20225.404151475894</c:v>
                </c:pt>
                <c:pt idx="1">
                  <c:v>21379.629314672773</c:v>
                </c:pt>
                <c:pt idx="2">
                  <c:v>26317.206599700126</c:v>
                </c:pt>
                <c:pt idx="3">
                  <c:v>30010.495505317744</c:v>
                </c:pt>
                <c:pt idx="4">
                  <c:v>23432.750523970404</c:v>
                </c:pt>
                <c:pt idx="5">
                  <c:v>24784.018360625756</c:v>
                </c:pt>
                <c:pt idx="6">
                  <c:v>34326.709080805602</c:v>
                </c:pt>
                <c:pt idx="7">
                  <c:v>35754.7028466599</c:v>
                </c:pt>
                <c:pt idx="8">
                  <c:v>36917.042639307088</c:v>
                </c:pt>
              </c:numCache>
            </c:numRef>
          </c:val>
        </c:ser>
        <c:marker val="1"/>
        <c:axId val="236315008"/>
        <c:axId val="236316928"/>
      </c:lineChart>
      <c:catAx>
        <c:axId val="236315008"/>
        <c:scaling>
          <c:orientation val="minMax"/>
        </c:scaling>
        <c:axPos val="b"/>
        <c:title>
          <c:tx>
            <c:rich>
              <a:bodyPr/>
              <a:lstStyle/>
              <a:p>
                <a:pPr algn="r">
                  <a:defRPr/>
                </a:pPr>
                <a:r>
                  <a:rPr lang="pl-PL"/>
                  <a:t>Lata</a:t>
                </a:r>
              </a:p>
            </c:rich>
          </c:tx>
          <c:layout>
            <c:manualLayout>
              <c:xMode val="edge"/>
              <c:yMode val="edge"/>
              <c:x val="4.7352295770285012E-2"/>
              <c:y val="0.8206651130963456"/>
            </c:manualLayout>
          </c:layout>
        </c:title>
        <c:numFmt formatCode="General" sourceLinked="1"/>
        <c:tickLblPos val="nextTo"/>
        <c:txPr>
          <a:bodyPr rot="-2700000"/>
          <a:lstStyle/>
          <a:p>
            <a:pPr>
              <a:defRPr/>
            </a:pPr>
            <a:endParaRPr lang="pl-PL"/>
          </a:p>
        </c:txPr>
        <c:crossAx val="236316928"/>
        <c:crosses val="autoZero"/>
        <c:auto val="1"/>
        <c:lblAlgn val="ctr"/>
        <c:lblOffset val="100"/>
      </c:catAx>
      <c:valAx>
        <c:axId val="236316928"/>
        <c:scaling>
          <c:orientation val="minMax"/>
          <c:max val="360000"/>
          <c:min val="0"/>
        </c:scaling>
        <c:axPos val="l"/>
        <c:majorGridlines/>
        <c:numFmt formatCode="#,##0" sourceLinked="0"/>
        <c:tickLblPos val="nextTo"/>
        <c:crossAx val="2363150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4171540792041126"/>
          <c:y val="0.92423602467098354"/>
          <c:w val="0.71656898401030666"/>
          <c:h val="7.5763842442757481E-2"/>
        </c:manualLayout>
      </c:layout>
    </c:legend>
    <c:plotVisOnly val="1"/>
    <c:dispBlanksAs val="gap"/>
  </c:chart>
  <c:txPr>
    <a:bodyPr/>
    <a:lstStyle/>
    <a:p>
      <a:pPr>
        <a:defRPr sz="1000">
          <a:latin typeface="+mn-lt"/>
          <a:cs typeface="Times New Roman" pitchFamily="18" charset="0"/>
        </a:defRPr>
      </a:pPr>
      <a:endParaRPr lang="pl-PL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0161554687289857"/>
          <c:y val="5.5482483618839118E-2"/>
          <c:w val="0.77824846918278634"/>
          <c:h val="0.72137821856394746"/>
        </c:manualLayout>
      </c:layout>
      <c:barChart>
        <c:barDir val="col"/>
        <c:grouping val="clustered"/>
        <c:ser>
          <c:idx val="0"/>
          <c:order val="0"/>
          <c:tx>
            <c:strRef>
              <c:f>dochód_AWU!$B$1</c:f>
              <c:strCache>
                <c:ptCount val="1"/>
                <c:pt idx="0">
                  <c:v>MAŁE</c:v>
                </c:pt>
              </c:strCache>
            </c:strRef>
          </c:tx>
          <c:spPr>
            <a:solidFill>
              <a:srgbClr val="0070C0"/>
            </a:solidFill>
          </c:spPr>
          <c:cat>
            <c:numRef>
              <c:f>dochód_AWU!$A$3:$A$11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dochód_AWU!$B$13:$B$21</c:f>
              <c:numCache>
                <c:formatCode>General</c:formatCode>
                <c:ptCount val="9"/>
                <c:pt idx="0">
                  <c:v>5951.3140260358632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1"/>
          <c:order val="1"/>
          <c:tx>
            <c:strRef>
              <c:f>dochód_AWU!$C$1</c:f>
              <c:strCache>
                <c:ptCount val="1"/>
                <c:pt idx="0">
                  <c:v>ŚREDNIE</c:v>
                </c:pt>
              </c:strCache>
            </c:strRef>
          </c:tx>
          <c:spPr>
            <a:solidFill>
              <a:srgbClr val="FFC000"/>
            </a:solidFill>
          </c:spPr>
          <c:cat>
            <c:numRef>
              <c:f>dochód_AWU!$A$3:$A$11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dochód_AWU!$C$13:$C$21</c:f>
              <c:numCache>
                <c:formatCode>General</c:formatCode>
                <c:ptCount val="9"/>
                <c:pt idx="0">
                  <c:v>20548.764482340161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2"/>
          <c:order val="2"/>
          <c:tx>
            <c:strRef>
              <c:f>dochód_AWU!$D$1</c:f>
              <c:strCache>
                <c:ptCount val="1"/>
                <c:pt idx="0">
                  <c:v>DUŻE</c:v>
                </c:pt>
              </c:strCache>
            </c:strRef>
          </c:tx>
          <c:spPr>
            <a:solidFill>
              <a:srgbClr val="00B050"/>
            </a:solidFill>
          </c:spPr>
          <c:cat>
            <c:numRef>
              <c:f>dochód_AWU!$A$3:$A$11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dochód_AWU!$D$13:$D$21</c:f>
              <c:numCache>
                <c:formatCode>General</c:formatCode>
                <c:ptCount val="9"/>
                <c:pt idx="0">
                  <c:v>47739.127623296903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axId val="235960192"/>
        <c:axId val="236011520"/>
      </c:barChart>
      <c:lineChart>
        <c:grouping val="standard"/>
        <c:ser>
          <c:idx val="3"/>
          <c:order val="3"/>
          <c:spPr>
            <a:ln w="38100">
              <a:solidFill>
                <a:srgbClr val="0070C0"/>
              </a:solidFill>
            </a:ln>
          </c:spPr>
          <c:marker>
            <c:symbol val="none"/>
          </c:marker>
          <c:cat>
            <c:numRef>
              <c:f>dochód_AWU!$A$3:$A$11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dochód_AWU!$B$3:$B$11</c:f>
              <c:numCache>
                <c:formatCode>General</c:formatCode>
                <c:ptCount val="9"/>
                <c:pt idx="0">
                  <c:v>1</c:v>
                </c:pt>
                <c:pt idx="1">
                  <c:v>1.1743751113416665</c:v>
                </c:pt>
                <c:pt idx="2">
                  <c:v>1.6838672899387919</c:v>
                </c:pt>
                <c:pt idx="3">
                  <c:v>1.9470973640524591</c:v>
                </c:pt>
                <c:pt idx="4">
                  <c:v>1.4904351064032202</c:v>
                </c:pt>
                <c:pt idx="5">
                  <c:v>1.4978049771924213</c:v>
                </c:pt>
                <c:pt idx="6">
                  <c:v>2.1894051765650762</c:v>
                </c:pt>
                <c:pt idx="7">
                  <c:v>2.142295851253575</c:v>
                </c:pt>
                <c:pt idx="8">
                  <c:v>2.1343122530209335</c:v>
                </c:pt>
              </c:numCache>
            </c:numRef>
          </c:val>
        </c:ser>
        <c:ser>
          <c:idx val="4"/>
          <c:order val="4"/>
          <c:spPr>
            <a:ln w="38100">
              <a:solidFill>
                <a:srgbClr val="FFC000"/>
              </a:solidFill>
            </a:ln>
          </c:spPr>
          <c:marker>
            <c:symbol val="none"/>
          </c:marker>
          <c:cat>
            <c:numRef>
              <c:f>dochód_AWU!$A$3:$A$11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dochód_AWU!$C$3:$C$11</c:f>
              <c:numCache>
                <c:formatCode>General</c:formatCode>
                <c:ptCount val="9"/>
                <c:pt idx="0">
                  <c:v>1</c:v>
                </c:pt>
                <c:pt idx="1">
                  <c:v>0.9917037523014417</c:v>
                </c:pt>
                <c:pt idx="2">
                  <c:v>1.2037823092329474</c:v>
                </c:pt>
                <c:pt idx="3">
                  <c:v>1.5067838907684159</c:v>
                </c:pt>
                <c:pt idx="4">
                  <c:v>1.223218620211453</c:v>
                </c:pt>
                <c:pt idx="5">
                  <c:v>1.3153674814839063</c:v>
                </c:pt>
                <c:pt idx="6">
                  <c:v>1.7820477276818329</c:v>
                </c:pt>
                <c:pt idx="7">
                  <c:v>1.8734886863079119</c:v>
                </c:pt>
                <c:pt idx="8">
                  <c:v>1.9685943382245834</c:v>
                </c:pt>
              </c:numCache>
            </c:numRef>
          </c:val>
        </c:ser>
        <c:ser>
          <c:idx val="5"/>
          <c:order val="5"/>
          <c:spPr>
            <a:ln w="38100">
              <a:solidFill>
                <a:srgbClr val="00B050"/>
              </a:solidFill>
            </a:ln>
          </c:spPr>
          <c:marker>
            <c:symbol val="none"/>
          </c:marker>
          <c:cat>
            <c:numRef>
              <c:f>dochód_AWU!$A$3:$A$11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dochód_AWU!$D$3:$D$11</c:f>
              <c:numCache>
                <c:formatCode>General</c:formatCode>
                <c:ptCount val="9"/>
                <c:pt idx="0">
                  <c:v>1</c:v>
                </c:pt>
                <c:pt idx="1">
                  <c:v>0.98970277988424393</c:v>
                </c:pt>
                <c:pt idx="2">
                  <c:v>0.95966892414178062</c:v>
                </c:pt>
                <c:pt idx="3">
                  <c:v>1.4445420912228686</c:v>
                </c:pt>
                <c:pt idx="4">
                  <c:v>1.0890112504154537</c:v>
                </c:pt>
                <c:pt idx="5">
                  <c:v>1.4055206924413401</c:v>
                </c:pt>
                <c:pt idx="6">
                  <c:v>1.6100007660043381</c:v>
                </c:pt>
                <c:pt idx="7">
                  <c:v>1.7261833488968961</c:v>
                </c:pt>
                <c:pt idx="8">
                  <c:v>1.8329938367357741</c:v>
                </c:pt>
              </c:numCache>
            </c:numRef>
          </c:val>
        </c:ser>
        <c:marker val="1"/>
        <c:axId val="236014976"/>
        <c:axId val="236013056"/>
      </c:lineChart>
      <c:catAx>
        <c:axId val="235960192"/>
        <c:scaling>
          <c:orientation val="minMax"/>
        </c:scaling>
        <c:axPos val="b"/>
        <c:title>
          <c:tx>
            <c:rich>
              <a:bodyPr/>
              <a:lstStyle/>
              <a:p>
                <a:pPr algn="r">
                  <a:defRPr b="0"/>
                </a:pPr>
                <a:r>
                  <a:rPr lang="pl-PL" b="0"/>
                  <a:t>Lata</a:t>
                </a:r>
              </a:p>
            </c:rich>
          </c:tx>
          <c:layout>
            <c:manualLayout>
              <c:xMode val="edge"/>
              <c:yMode val="edge"/>
              <c:x val="1.2943480426562437E-2"/>
              <c:y val="0.83492168152788127"/>
            </c:manualLayout>
          </c:layout>
        </c:title>
        <c:numFmt formatCode="General" sourceLinked="1"/>
        <c:tickLblPos val="nextTo"/>
        <c:txPr>
          <a:bodyPr rot="-2700000"/>
          <a:lstStyle/>
          <a:p>
            <a:pPr>
              <a:defRPr sz="1000"/>
            </a:pPr>
            <a:endParaRPr lang="pl-PL"/>
          </a:p>
        </c:txPr>
        <c:crossAx val="236011520"/>
        <c:crosses val="autoZero"/>
        <c:auto val="1"/>
        <c:lblAlgn val="ctr"/>
        <c:lblOffset val="100"/>
      </c:catAx>
      <c:valAx>
        <c:axId val="236011520"/>
        <c:scaling>
          <c:orientation val="minMax"/>
        </c:scaling>
        <c:axPos val="l"/>
        <c:majorGridlines/>
        <c:numFmt formatCode="#,##0" sourceLinked="0"/>
        <c:tickLblPos val="nextTo"/>
        <c:txPr>
          <a:bodyPr/>
          <a:lstStyle/>
          <a:p>
            <a:pPr>
              <a:defRPr sz="1000"/>
            </a:pPr>
            <a:endParaRPr lang="pl-PL"/>
          </a:p>
        </c:txPr>
        <c:crossAx val="235960192"/>
        <c:crosses val="autoZero"/>
        <c:crossBetween val="between"/>
      </c:valAx>
      <c:valAx>
        <c:axId val="236013056"/>
        <c:scaling>
          <c:orientation val="minMax"/>
          <c:min val="0.60000000000000064"/>
        </c:scaling>
        <c:axPos val="r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pl-PL" b="0"/>
                  <a:t>indeks zmian rok 2004=1</a:t>
                </a:r>
              </a:p>
            </c:rich>
          </c:tx>
          <c:layout>
            <c:manualLayout>
              <c:xMode val="edge"/>
              <c:yMode val="edge"/>
              <c:x val="0.94877949284117313"/>
              <c:y val="0.1799737273709493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1000"/>
            </a:pPr>
            <a:endParaRPr lang="pl-PL"/>
          </a:p>
        </c:txPr>
        <c:crossAx val="236014976"/>
        <c:crosses val="max"/>
        <c:crossBetween val="between"/>
      </c:valAx>
      <c:catAx>
        <c:axId val="236014976"/>
        <c:scaling>
          <c:orientation val="minMax"/>
        </c:scaling>
        <c:delete val="1"/>
        <c:axPos val="b"/>
        <c:numFmt formatCode="General" sourceLinked="1"/>
        <c:tickLblPos val="none"/>
        <c:crossAx val="236013056"/>
        <c:crosses val="autoZero"/>
        <c:auto val="1"/>
        <c:lblAlgn val="ctr"/>
        <c:lblOffset val="100"/>
      </c:catAx>
    </c:plotArea>
    <c:legend>
      <c:legendPos val="b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27926252105613664"/>
          <c:y val="0.90163843862323623"/>
          <c:w val="0.44147495788772689"/>
          <c:h val="8.0664824632033089E-2"/>
        </c:manualLayout>
      </c:layout>
    </c:legend>
    <c:plotVisOnly val="1"/>
    <c:dispBlanksAs val="gap"/>
  </c:chart>
  <c:txPr>
    <a:bodyPr/>
    <a:lstStyle/>
    <a:p>
      <a:pPr>
        <a:defRPr sz="1100">
          <a:latin typeface="+mn-lt"/>
          <a:cs typeface="Times New Roman" panose="02020603050405020304" pitchFamily="18" charset="0"/>
        </a:defRPr>
      </a:pPr>
      <a:endParaRPr lang="pl-PL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plotArea>
      <c:layout>
        <c:manualLayout>
          <c:layoutTarget val="inner"/>
          <c:xMode val="edge"/>
          <c:yMode val="edge"/>
          <c:x val="0.13119906387477173"/>
          <c:y val="4.4530090299502903E-2"/>
          <c:w val="0.84279609508915465"/>
          <c:h val="0.75329760166212545"/>
        </c:manualLayout>
      </c:layout>
      <c:barChart>
        <c:barDir val="col"/>
        <c:grouping val="clustered"/>
        <c:ser>
          <c:idx val="0"/>
          <c:order val="0"/>
          <c:tx>
            <c:strRef>
              <c:f>EFEKTYWNOŚĆ!$B$1</c:f>
              <c:strCache>
                <c:ptCount val="1"/>
                <c:pt idx="0">
                  <c:v>MAŁE</c:v>
                </c:pt>
              </c:strCache>
            </c:strRef>
          </c:tx>
          <c:spPr>
            <a:solidFill>
              <a:srgbClr val="0070C0"/>
            </a:solidFill>
          </c:spPr>
          <c:cat>
            <c:numRef>
              <c:f>EFEKTYWNOŚĆ!$A$2:$A$10</c:f>
              <c:numCache>
                <c:formatCode>General</c:formatCode>
                <c:ptCount val="3"/>
                <c:pt idx="0">
                  <c:v>2004</c:v>
                </c:pt>
                <c:pt idx="1">
                  <c:v>2008</c:v>
                </c:pt>
                <c:pt idx="2">
                  <c:v>2012</c:v>
                </c:pt>
              </c:numCache>
            </c:numRef>
          </c:cat>
          <c:val>
            <c:numRef>
              <c:f>EFEKTYWNOŚĆ!$B$2:$B$10</c:f>
              <c:numCache>
                <c:formatCode>General</c:formatCode>
                <c:ptCount val="3"/>
                <c:pt idx="0">
                  <c:v>0.27190467769610777</c:v>
                </c:pt>
                <c:pt idx="1">
                  <c:v>0.33304461443981687</c:v>
                </c:pt>
                <c:pt idx="2">
                  <c:v>0.38908456815511178</c:v>
                </c:pt>
              </c:numCache>
            </c:numRef>
          </c:val>
        </c:ser>
        <c:ser>
          <c:idx val="1"/>
          <c:order val="1"/>
          <c:tx>
            <c:strRef>
              <c:f>EFEKTYWNOŚĆ!$C$1</c:f>
              <c:strCache>
                <c:ptCount val="1"/>
                <c:pt idx="0">
                  <c:v>ŚREDNIE</c:v>
                </c:pt>
              </c:strCache>
            </c:strRef>
          </c:tx>
          <c:spPr>
            <a:solidFill>
              <a:srgbClr val="FFC000"/>
            </a:solidFill>
          </c:spPr>
          <c:cat>
            <c:numRef>
              <c:f>EFEKTYWNOŚĆ!$A$2:$A$10</c:f>
              <c:numCache>
                <c:formatCode>General</c:formatCode>
                <c:ptCount val="3"/>
                <c:pt idx="0">
                  <c:v>2004</c:v>
                </c:pt>
                <c:pt idx="1">
                  <c:v>2008</c:v>
                </c:pt>
                <c:pt idx="2">
                  <c:v>2012</c:v>
                </c:pt>
              </c:numCache>
            </c:numRef>
          </c:cat>
          <c:val>
            <c:numRef>
              <c:f>EFEKTYWNOŚĆ!$C$2:$C$10</c:f>
              <c:numCache>
                <c:formatCode>General</c:formatCode>
                <c:ptCount val="3"/>
                <c:pt idx="0">
                  <c:v>0.37374307960346692</c:v>
                </c:pt>
                <c:pt idx="1">
                  <c:v>0.37231865871079572</c:v>
                </c:pt>
                <c:pt idx="2">
                  <c:v>0.47543485880223518</c:v>
                </c:pt>
              </c:numCache>
            </c:numRef>
          </c:val>
        </c:ser>
        <c:ser>
          <c:idx val="2"/>
          <c:order val="2"/>
          <c:tx>
            <c:strRef>
              <c:f>EFEKTYWNOŚĆ!$D$1</c:f>
              <c:strCache>
                <c:ptCount val="1"/>
                <c:pt idx="0">
                  <c:v>DUŻE</c:v>
                </c:pt>
              </c:strCache>
            </c:strRef>
          </c:tx>
          <c:spPr>
            <a:solidFill>
              <a:srgbClr val="00B050"/>
            </a:solidFill>
          </c:spPr>
          <c:cat>
            <c:numRef>
              <c:f>EFEKTYWNOŚĆ!$A$2:$A$10</c:f>
              <c:numCache>
                <c:formatCode>General</c:formatCode>
                <c:ptCount val="3"/>
                <c:pt idx="0">
                  <c:v>2004</c:v>
                </c:pt>
                <c:pt idx="1">
                  <c:v>2008</c:v>
                </c:pt>
                <c:pt idx="2">
                  <c:v>2012</c:v>
                </c:pt>
              </c:numCache>
            </c:numRef>
          </c:cat>
          <c:val>
            <c:numRef>
              <c:f>EFEKTYWNOŚĆ!$D$2:$D$10</c:f>
              <c:numCache>
                <c:formatCode>General</c:formatCode>
                <c:ptCount val="3"/>
                <c:pt idx="0">
                  <c:v>0.28934969796564219</c:v>
                </c:pt>
                <c:pt idx="1">
                  <c:v>0.2580501216136738</c:v>
                </c:pt>
                <c:pt idx="2">
                  <c:v>0.40792003467926086</c:v>
                </c:pt>
              </c:numCache>
            </c:numRef>
          </c:val>
        </c:ser>
        <c:axId val="230805888"/>
        <c:axId val="230807808"/>
      </c:barChart>
      <c:catAx>
        <c:axId val="230805888"/>
        <c:scaling>
          <c:orientation val="minMax"/>
        </c:scaling>
        <c:axPos val="b"/>
        <c:title>
          <c:tx>
            <c:rich>
              <a:bodyPr/>
              <a:lstStyle/>
              <a:p>
                <a:pPr algn="r">
                  <a:defRPr sz="10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t>Lata</a:t>
                </a:r>
              </a:p>
            </c:rich>
          </c:tx>
          <c:layout>
            <c:manualLayout>
              <c:xMode val="edge"/>
              <c:yMode val="edge"/>
              <c:x val="5.1116520529571038E-2"/>
              <c:y val="0.81592198335911825"/>
            </c:manualLayout>
          </c:layout>
          <c:spPr>
            <a:noFill/>
            <a:ln w="25382">
              <a:noFill/>
            </a:ln>
          </c:spPr>
        </c:title>
        <c:numFmt formatCode="General" sourceLinked="1"/>
        <c:tickLblPos val="nextTo"/>
        <c:crossAx val="230807808"/>
        <c:crosses val="autoZero"/>
        <c:auto val="1"/>
        <c:lblAlgn val="ctr"/>
        <c:lblOffset val="100"/>
      </c:catAx>
      <c:valAx>
        <c:axId val="230807808"/>
        <c:scaling>
          <c:orientation val="minMax"/>
          <c:min val="0.2"/>
        </c:scaling>
        <c:axPos val="l"/>
        <c:majorGridlines/>
        <c:title>
          <c:tx>
            <c:rich>
              <a:bodyPr/>
              <a:lstStyle/>
              <a:p>
                <a:pPr>
                  <a:defRPr sz="10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t>dochód/koszt</a:t>
                </a:r>
              </a:p>
            </c:rich>
          </c:tx>
          <c:spPr>
            <a:noFill/>
            <a:ln w="25382">
              <a:noFill/>
            </a:ln>
          </c:spPr>
        </c:title>
        <c:numFmt formatCode="General" sourceLinked="1"/>
        <c:tickLblPos val="nextTo"/>
        <c:crossAx val="230805888"/>
        <c:crosses val="autoZero"/>
        <c:crossBetween val="between"/>
      </c:valAx>
      <c:spPr>
        <a:noFill/>
        <a:ln w="25382">
          <a:noFill/>
        </a:ln>
      </c:spPr>
    </c:plotArea>
    <c:legend>
      <c:legendPos val="r"/>
      <c:layout>
        <c:manualLayout>
          <c:xMode val="edge"/>
          <c:yMode val="edge"/>
          <c:x val="0.31889763779527563"/>
          <c:y val="0.87956204379562031"/>
          <c:w val="0.4094488188976379"/>
          <c:h val="7.2992700729927015E-2"/>
        </c:manualLayout>
      </c:layout>
    </c:legend>
    <c:plotVisOnly val="1"/>
    <c:dispBlanksAs val="gap"/>
  </c:chart>
  <c:txPr>
    <a:bodyPr/>
    <a:lstStyle/>
    <a:p>
      <a:pPr>
        <a:defRPr sz="1099">
          <a:latin typeface="+mn-lt"/>
          <a:cs typeface="Times New Roman" panose="02020603050405020304" pitchFamily="18" charset="0"/>
        </a:defRPr>
      </a:pPr>
      <a:endParaRPr lang="pl-PL"/>
    </a:p>
  </c:txPr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Diseño predeterminado 1">
    <a:dk1>
      <a:srgbClr val="000000"/>
    </a:dk1>
    <a:lt1>
      <a:srgbClr val="FFFFFF"/>
    </a:lt1>
    <a:dk2>
      <a:srgbClr val="000000"/>
    </a:dk2>
    <a:lt2>
      <a:srgbClr val="808080"/>
    </a:lt2>
    <a:accent1>
      <a:srgbClr val="BBE0E3"/>
    </a:accent1>
    <a:accent2>
      <a:srgbClr val="333399"/>
    </a:accent2>
    <a:accent3>
      <a:srgbClr val="FFFFFF"/>
    </a:accent3>
    <a:accent4>
      <a:srgbClr val="000000"/>
    </a:accent4>
    <a:accent5>
      <a:srgbClr val="DAEDEF"/>
    </a:accent5>
    <a:accent6>
      <a:srgbClr val="2D2D8A"/>
    </a:accent6>
    <a:hlink>
      <a:srgbClr val="009999"/>
    </a:hlink>
    <a:folHlink>
      <a:srgbClr val="99CC00"/>
    </a:folHlink>
  </a:clrScheme>
  <a:fontScheme name="Diseño predeterminado">
    <a:majorFont>
      <a:latin typeface="Arial"/>
      <a:ea typeface=""/>
      <a:cs typeface="Arial"/>
    </a:majorFont>
    <a:minorFont>
      <a:latin typeface="Arial"/>
      <a:ea typeface=""/>
      <a:cs typeface="Arial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Diseño predeterminado 1">
    <a:dk1>
      <a:srgbClr val="000000"/>
    </a:dk1>
    <a:lt1>
      <a:srgbClr val="FFFFFF"/>
    </a:lt1>
    <a:dk2>
      <a:srgbClr val="000000"/>
    </a:dk2>
    <a:lt2>
      <a:srgbClr val="808080"/>
    </a:lt2>
    <a:accent1>
      <a:srgbClr val="BBE0E3"/>
    </a:accent1>
    <a:accent2>
      <a:srgbClr val="333399"/>
    </a:accent2>
    <a:accent3>
      <a:srgbClr val="FFFFFF"/>
    </a:accent3>
    <a:accent4>
      <a:srgbClr val="000000"/>
    </a:accent4>
    <a:accent5>
      <a:srgbClr val="DAEDEF"/>
    </a:accent5>
    <a:accent6>
      <a:srgbClr val="2D2D8A"/>
    </a:accent6>
    <a:hlink>
      <a:srgbClr val="009999"/>
    </a:hlink>
    <a:folHlink>
      <a:srgbClr val="99CC00"/>
    </a:folHlink>
  </a:clrScheme>
  <a:fontScheme name="Diseño predeterminado">
    <a:majorFont>
      <a:latin typeface="Arial"/>
      <a:ea typeface=""/>
      <a:cs typeface="Arial"/>
    </a:majorFont>
    <a:minorFont>
      <a:latin typeface="Arial"/>
      <a:ea typeface=""/>
      <a:cs typeface="Arial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Diseño predeterminado 1">
    <a:dk1>
      <a:srgbClr val="000000"/>
    </a:dk1>
    <a:lt1>
      <a:srgbClr val="FFFFFF"/>
    </a:lt1>
    <a:dk2>
      <a:srgbClr val="000000"/>
    </a:dk2>
    <a:lt2>
      <a:srgbClr val="808080"/>
    </a:lt2>
    <a:accent1>
      <a:srgbClr val="BBE0E3"/>
    </a:accent1>
    <a:accent2>
      <a:srgbClr val="333399"/>
    </a:accent2>
    <a:accent3>
      <a:srgbClr val="FFFFFF"/>
    </a:accent3>
    <a:accent4>
      <a:srgbClr val="000000"/>
    </a:accent4>
    <a:accent5>
      <a:srgbClr val="DAEDEF"/>
    </a:accent5>
    <a:accent6>
      <a:srgbClr val="2D2D8A"/>
    </a:accent6>
    <a:hlink>
      <a:srgbClr val="009999"/>
    </a:hlink>
    <a:folHlink>
      <a:srgbClr val="99CC00"/>
    </a:folHlink>
  </a:clrScheme>
  <a:fontScheme name="Diseño predeterminado">
    <a:majorFont>
      <a:latin typeface="Arial"/>
      <a:ea typeface=""/>
      <a:cs typeface="Arial"/>
    </a:majorFont>
    <a:minorFont>
      <a:latin typeface="Arial"/>
      <a:ea typeface=""/>
      <a:cs typeface="Arial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Diseño predeterminado 1">
    <a:dk1>
      <a:srgbClr val="000000"/>
    </a:dk1>
    <a:lt1>
      <a:srgbClr val="FFFFFF"/>
    </a:lt1>
    <a:dk2>
      <a:srgbClr val="000000"/>
    </a:dk2>
    <a:lt2>
      <a:srgbClr val="808080"/>
    </a:lt2>
    <a:accent1>
      <a:srgbClr val="BBE0E3"/>
    </a:accent1>
    <a:accent2>
      <a:srgbClr val="333399"/>
    </a:accent2>
    <a:accent3>
      <a:srgbClr val="FFFFFF"/>
    </a:accent3>
    <a:accent4>
      <a:srgbClr val="000000"/>
    </a:accent4>
    <a:accent5>
      <a:srgbClr val="DAEDEF"/>
    </a:accent5>
    <a:accent6>
      <a:srgbClr val="2D2D8A"/>
    </a:accent6>
    <a:hlink>
      <a:srgbClr val="009999"/>
    </a:hlink>
    <a:folHlink>
      <a:srgbClr val="99CC00"/>
    </a:folHlink>
  </a:clrScheme>
  <a:fontScheme name="Diseño predeterminado">
    <a:majorFont>
      <a:latin typeface="Arial"/>
      <a:ea typeface=""/>
      <a:cs typeface="Arial"/>
    </a:majorFont>
    <a:minorFont>
      <a:latin typeface="Arial"/>
      <a:ea typeface=""/>
      <a:cs typeface="Arial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4618</Words>
  <Characters>27709</Characters>
  <Application>Microsoft Office Word</Application>
  <DocSecurity>0</DocSecurity>
  <Lines>230</Lines>
  <Paragraphs>64</Paragraphs>
  <ScaleCrop>false</ScaleCrop>
  <Company>SGGW</Company>
  <LinksUpToDate>false</LinksUpToDate>
  <CharactersWithSpaces>32263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WYNIKI EKONOMICZNE GOSPODARSTW RODZINNYCH W POLSCE PO 2004 ROKU</dc:title>
  <dc:subject/>
  <dc:creator>SGGW</dc:creator>
  <cp:keywords/>
  <dc:description/>
  <cp:lastModifiedBy>Konto testowe</cp:lastModifiedBy>
  <cp:revision>2</cp:revision>
  <cp:lastPrinted>2015-03-10T14:28:00Z</cp:lastPrinted>
  <dcterms:created xsi:type="dcterms:W3CDTF">2015-03-11T09:22:00Z</dcterms:created>
  <dcterms:modified xsi:type="dcterms:W3CDTF">2015-03-11T09:22:00Z</dcterms:modified>
</cp:coreProperties>
</file>